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74" w:rsidRDefault="004C2F74" w:rsidP="004C2F74">
      <w:pPr>
        <w:shd w:val="clear" w:color="auto" w:fill="FFFFFF"/>
        <w:ind w:firstLine="709"/>
        <w:jc w:val="center"/>
        <w:rPr>
          <w:b/>
          <w:color w:val="000000"/>
        </w:rPr>
      </w:pPr>
      <w:r w:rsidRPr="004C2F74">
        <w:rPr>
          <w:b/>
          <w:color w:val="000000"/>
        </w:rPr>
        <w:t>Творческая самореализация педагогов как ресурс профилактики профессионального выгорания.</w:t>
      </w:r>
    </w:p>
    <w:p w:rsidR="00B3063D" w:rsidRDefault="00B3063D" w:rsidP="00B3063D">
      <w:pPr>
        <w:shd w:val="clear" w:color="auto" w:fill="FFFFFF"/>
        <w:ind w:firstLine="709"/>
        <w:jc w:val="right"/>
        <w:rPr>
          <w:b/>
          <w:color w:val="000000"/>
        </w:rPr>
      </w:pPr>
      <w:r>
        <w:rPr>
          <w:b/>
          <w:color w:val="000000"/>
        </w:rPr>
        <w:t xml:space="preserve">Надежина М.А. </w:t>
      </w:r>
    </w:p>
    <w:p w:rsidR="00B3063D" w:rsidRDefault="00B3063D" w:rsidP="00B3063D">
      <w:pPr>
        <w:shd w:val="clear" w:color="auto" w:fill="FFFFFF"/>
        <w:ind w:firstLine="709"/>
        <w:jc w:val="right"/>
        <w:rPr>
          <w:b/>
          <w:color w:val="000000"/>
        </w:rPr>
      </w:pPr>
      <w:r>
        <w:rPr>
          <w:b/>
          <w:color w:val="000000"/>
        </w:rPr>
        <w:t xml:space="preserve">доцент кафедры дошкольного образования </w:t>
      </w:r>
    </w:p>
    <w:p w:rsidR="004C2F74" w:rsidRDefault="00B3063D" w:rsidP="00B3063D">
      <w:pPr>
        <w:shd w:val="clear" w:color="auto" w:fill="FFFFFF"/>
        <w:ind w:firstLine="709"/>
        <w:jc w:val="right"/>
        <w:rPr>
          <w:b/>
          <w:color w:val="000000"/>
        </w:rPr>
      </w:pPr>
      <w:r>
        <w:rPr>
          <w:b/>
          <w:color w:val="000000"/>
        </w:rPr>
        <w:t>ГОАУ ЯО ИРО</w:t>
      </w:r>
    </w:p>
    <w:p w:rsidR="00B3063D" w:rsidRPr="004C2F74" w:rsidRDefault="00B3063D" w:rsidP="00B3063D">
      <w:pPr>
        <w:shd w:val="clear" w:color="auto" w:fill="FFFFFF"/>
        <w:ind w:firstLine="709"/>
        <w:jc w:val="right"/>
        <w:rPr>
          <w:b/>
          <w:color w:val="000000"/>
        </w:rPr>
      </w:pPr>
    </w:p>
    <w:p w:rsidR="00956733" w:rsidRPr="004C2F74" w:rsidRDefault="00956733" w:rsidP="004C2F74">
      <w:pPr>
        <w:shd w:val="clear" w:color="auto" w:fill="FFFFFF"/>
        <w:ind w:firstLine="709"/>
        <w:jc w:val="both"/>
      </w:pPr>
      <w:r w:rsidRPr="004C2F74">
        <w:rPr>
          <w:color w:val="000000"/>
        </w:rPr>
        <w:t xml:space="preserve">Одной из таких основных </w:t>
      </w:r>
      <w:r w:rsidRPr="004C2F74">
        <w:rPr>
          <w:color w:val="000000"/>
          <w:spacing w:val="2"/>
        </w:rPr>
        <w:t xml:space="preserve">подструктур личности профессионала является мотивационная </w:t>
      </w:r>
      <w:r w:rsidRPr="004C2F74">
        <w:rPr>
          <w:color w:val="000000"/>
        </w:rPr>
        <w:t xml:space="preserve">сфера. </w:t>
      </w:r>
      <w:r w:rsidRPr="004C2F74">
        <w:t>Нами были изучены системы ценностных ориентаций в зависимости от степени выраженности выгорания. Объектом исследования стали представители социальных профессий (</w:t>
      </w:r>
      <w:r w:rsidRPr="004C2F74">
        <w:rPr>
          <w:lang w:val="en-US"/>
        </w:rPr>
        <w:t>N</w:t>
      </w:r>
      <w:r w:rsidRPr="004C2F74">
        <w:t>=150). Диагностика ценностных ориентаций осуществлялась с помощью опросника терминальных ценностей (</w:t>
      </w:r>
      <w:proofErr w:type="spellStart"/>
      <w:r w:rsidRPr="004C2F74">
        <w:t>ОТеЦ</w:t>
      </w:r>
      <w:proofErr w:type="spellEnd"/>
      <w:r w:rsidRPr="004C2F74">
        <w:t xml:space="preserve">). Полученные данные приведены в </w:t>
      </w:r>
      <w:r w:rsidR="004C2F74" w:rsidRPr="004C2F74">
        <w:t>Таблице 1.</w:t>
      </w:r>
    </w:p>
    <w:p w:rsidR="00956733" w:rsidRPr="004C2F74" w:rsidRDefault="00956733" w:rsidP="004C2F74">
      <w:pPr>
        <w:ind w:firstLine="708"/>
        <w:jc w:val="right"/>
      </w:pPr>
      <w:r w:rsidRPr="004C2F74">
        <w:t xml:space="preserve"> Таблица 1.</w:t>
      </w:r>
    </w:p>
    <w:p w:rsidR="00956733" w:rsidRPr="004C2F74" w:rsidRDefault="00956733" w:rsidP="004C2F74">
      <w:pPr>
        <w:ind w:firstLine="709"/>
        <w:jc w:val="center"/>
        <w:rPr>
          <w:b/>
        </w:rPr>
      </w:pPr>
      <w:r w:rsidRPr="004C2F74">
        <w:rPr>
          <w:b/>
        </w:rPr>
        <w:t>Корреляционные связи составляющих выгорания и ценностных</w:t>
      </w:r>
    </w:p>
    <w:p w:rsidR="00956733" w:rsidRPr="004C2F74" w:rsidRDefault="00956733" w:rsidP="004C2F74">
      <w:pPr>
        <w:ind w:firstLine="709"/>
        <w:jc w:val="center"/>
        <w:rPr>
          <w:b/>
        </w:rPr>
      </w:pPr>
      <w:r w:rsidRPr="004C2F74">
        <w:rPr>
          <w:b/>
        </w:rPr>
        <w:t>ориентаций представителей социальных профессий</w:t>
      </w:r>
    </w:p>
    <w:tbl>
      <w:tblPr>
        <w:tblW w:w="9375" w:type="dxa"/>
        <w:tblInd w:w="93" w:type="dxa"/>
        <w:tblLayout w:type="fixed"/>
        <w:tblLook w:val="0000" w:firstRow="0" w:lastRow="0" w:firstColumn="0" w:lastColumn="0" w:noHBand="0" w:noVBand="0"/>
      </w:tblPr>
      <w:tblGrid>
        <w:gridCol w:w="4155"/>
        <w:gridCol w:w="1305"/>
        <w:gridCol w:w="1305"/>
        <w:gridCol w:w="1305"/>
        <w:gridCol w:w="1305"/>
      </w:tblGrid>
      <w:tr w:rsidR="00956733" w:rsidRPr="004C2F74" w:rsidTr="001B0ED0">
        <w:trPr>
          <w:trHeight w:val="255"/>
        </w:trPr>
        <w:tc>
          <w:tcPr>
            <w:tcW w:w="4155"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rsidR="00956733" w:rsidRPr="004C2F74" w:rsidRDefault="00956733" w:rsidP="004C2F74">
            <w:pPr>
              <w:jc w:val="both"/>
            </w:pPr>
            <w:r w:rsidRPr="004C2F74">
              <w:t xml:space="preserve">Структурные компоненты </w:t>
            </w:r>
          </w:p>
          <w:p w:rsidR="00956733" w:rsidRPr="004C2F74" w:rsidRDefault="00956733" w:rsidP="004C2F74">
            <w:pPr>
              <w:jc w:val="both"/>
            </w:pPr>
            <w:r w:rsidRPr="004C2F74">
              <w:t>выгорания</w:t>
            </w:r>
          </w:p>
          <w:p w:rsidR="00956733" w:rsidRPr="004C2F74" w:rsidRDefault="00956733" w:rsidP="004C2F74">
            <w:pPr>
              <w:jc w:val="both"/>
            </w:pPr>
            <w:r w:rsidRPr="004C2F74">
              <w:t>Терминальные ценности</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733" w:rsidRPr="004C2F74" w:rsidRDefault="00956733" w:rsidP="004C2F74">
            <w:pPr>
              <w:jc w:val="both"/>
            </w:pPr>
            <w:r w:rsidRPr="004C2F74">
              <w:t>ПИ</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733" w:rsidRPr="004C2F74" w:rsidRDefault="00956733" w:rsidP="004C2F74">
            <w:pPr>
              <w:jc w:val="both"/>
            </w:pPr>
            <w:r w:rsidRPr="004C2F74">
              <w:t>Д</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733" w:rsidRPr="004C2F74" w:rsidRDefault="00956733" w:rsidP="004C2F74">
            <w:pPr>
              <w:jc w:val="both"/>
            </w:pPr>
            <w:r w:rsidRPr="004C2F74">
              <w:t>СПЭ</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733" w:rsidRPr="004C2F74" w:rsidRDefault="00956733" w:rsidP="004C2F74">
            <w:pPr>
              <w:jc w:val="both"/>
            </w:pPr>
            <w:r w:rsidRPr="004C2F74">
              <w:t>ИПВ</w:t>
            </w:r>
          </w:p>
        </w:tc>
      </w:tr>
      <w:tr w:rsidR="00956733" w:rsidRPr="004C2F74" w:rsidTr="001B0ED0">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Собственный престиж</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0,134</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0,083</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-0,0001</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0,145</w:t>
            </w:r>
          </w:p>
        </w:tc>
      </w:tr>
      <w:tr w:rsidR="00956733" w:rsidRPr="004C2F74" w:rsidTr="001B0ED0">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Высокое материальное положение</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0,231**</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0,229**</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0,0054</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0,354**</w:t>
            </w:r>
          </w:p>
        </w:tc>
      </w:tr>
      <w:tr w:rsidR="00956733" w:rsidRPr="004C2F74" w:rsidTr="001B0ED0">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Креативность</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- 0,219**</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0,067</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-0,225**</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- 0,284**</w:t>
            </w:r>
          </w:p>
        </w:tc>
      </w:tr>
      <w:tr w:rsidR="00956733" w:rsidRPr="004C2F74" w:rsidTr="001B0ED0">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Активные социальные контакты</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- 0,228**</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0,146</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0,047</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8429FA" w:rsidP="004C2F74">
            <w:pPr>
              <w:spacing w:before="60" w:after="60"/>
              <w:jc w:val="both"/>
            </w:pPr>
            <w:r w:rsidRPr="004C2F74">
              <w:rPr>
                <w:lang w:val="en-US"/>
              </w:rPr>
              <w:t>-</w:t>
            </w:r>
            <w:r w:rsidR="00956733" w:rsidRPr="004C2F74">
              <w:t>0,224**</w:t>
            </w:r>
          </w:p>
        </w:tc>
      </w:tr>
      <w:tr w:rsidR="00956733" w:rsidRPr="004C2F74" w:rsidTr="001B0ED0">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Развитие себя</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0,056</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-0,0036</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-0,0052</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0,045</w:t>
            </w:r>
          </w:p>
        </w:tc>
      </w:tr>
      <w:tr w:rsidR="00956733" w:rsidRPr="004C2F74" w:rsidTr="001B0ED0">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Достижения</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0,147</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0,059</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0,0026</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0,149</w:t>
            </w:r>
          </w:p>
        </w:tc>
      </w:tr>
      <w:tr w:rsidR="00956733" w:rsidRPr="004C2F74" w:rsidTr="001B0ED0">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Духовное удовлетворение</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0,0012</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-0,036</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-0,0038</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-0,0025</w:t>
            </w:r>
          </w:p>
        </w:tc>
      </w:tr>
      <w:tr w:rsidR="00956733" w:rsidRPr="004C2F74" w:rsidTr="001B0ED0">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Индивидуальность</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0,098</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0,028</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0,0015</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733" w:rsidRPr="004C2F74" w:rsidRDefault="00956733" w:rsidP="004C2F74">
            <w:pPr>
              <w:spacing w:before="60" w:after="60"/>
              <w:jc w:val="both"/>
            </w:pPr>
            <w:r w:rsidRPr="004C2F74">
              <w:t>0,152</w:t>
            </w:r>
          </w:p>
        </w:tc>
      </w:tr>
    </w:tbl>
    <w:p w:rsidR="00956733" w:rsidRPr="00392494" w:rsidRDefault="00956733" w:rsidP="004C2F74">
      <w:pPr>
        <w:jc w:val="both"/>
        <w:rPr>
          <w:sz w:val="20"/>
          <w:szCs w:val="20"/>
        </w:rPr>
      </w:pPr>
      <w:r w:rsidRPr="00392494">
        <w:rPr>
          <w:sz w:val="20"/>
          <w:szCs w:val="20"/>
        </w:rPr>
        <w:t>Условные обозначения: ** – 0,21 знач. при р = 0,01</w:t>
      </w:r>
    </w:p>
    <w:p w:rsidR="00956733" w:rsidRPr="004C2F74" w:rsidRDefault="00956733" w:rsidP="004C2F74">
      <w:pPr>
        <w:shd w:val="clear" w:color="auto" w:fill="FFFFFF"/>
        <w:ind w:left="29" w:firstLine="538"/>
        <w:jc w:val="both"/>
      </w:pPr>
    </w:p>
    <w:p w:rsidR="00956733" w:rsidRPr="004C2F74" w:rsidRDefault="00956733" w:rsidP="004C2F74">
      <w:pPr>
        <w:shd w:val="clear" w:color="auto" w:fill="FFFFFF"/>
        <w:ind w:firstLine="708"/>
        <w:jc w:val="both"/>
        <w:rPr>
          <w:color w:val="000000"/>
          <w:spacing w:val="-1"/>
        </w:rPr>
      </w:pPr>
      <w:r w:rsidRPr="004C2F74">
        <w:t xml:space="preserve">Выявлена значимая положительная корреляция двух структурных компонентов выгорания (психоэмоциональные истощение, деперсонализация) и ценности «высокое материальное положение». Это означает, что доминирующее место в жизни представителей социальных профессий </w:t>
      </w:r>
      <w:r w:rsidRPr="004C2F74">
        <w:rPr>
          <w:color w:val="000000"/>
          <w:spacing w:val="-1"/>
        </w:rPr>
        <w:t xml:space="preserve">занимает </w:t>
      </w:r>
      <w:r w:rsidRPr="004C2F74">
        <w:rPr>
          <w:color w:val="000000"/>
          <w:spacing w:val="-2"/>
        </w:rPr>
        <w:t xml:space="preserve">материальный достаток. Они убеждены в том, что деньги являются </w:t>
      </w:r>
      <w:r w:rsidRPr="004C2F74">
        <w:rPr>
          <w:color w:val="000000"/>
          <w:spacing w:val="2"/>
        </w:rPr>
        <w:t>главным условием жизненного благополучия, а высокий уровень</w:t>
      </w:r>
      <w:r w:rsidRPr="004C2F74">
        <w:t xml:space="preserve"> </w:t>
      </w:r>
      <w:r w:rsidRPr="004C2F74">
        <w:rPr>
          <w:color w:val="000000"/>
          <w:spacing w:val="-2"/>
        </w:rPr>
        <w:t>материального благосостояния является для таких людей основани</w:t>
      </w:r>
      <w:r w:rsidRPr="004C2F74">
        <w:rPr>
          <w:color w:val="000000"/>
          <w:spacing w:val="1"/>
        </w:rPr>
        <w:t xml:space="preserve">ем для развития чувства собственной значимости и повышенной </w:t>
      </w:r>
      <w:r w:rsidRPr="004C2F74">
        <w:rPr>
          <w:color w:val="000000"/>
          <w:spacing w:val="-1"/>
        </w:rPr>
        <w:t>самооценки.</w:t>
      </w:r>
    </w:p>
    <w:p w:rsidR="00956733" w:rsidRPr="004C2F74" w:rsidRDefault="00956733" w:rsidP="004C2F74">
      <w:pPr>
        <w:shd w:val="clear" w:color="auto" w:fill="FFFFFF"/>
        <w:ind w:firstLine="709"/>
        <w:jc w:val="both"/>
        <w:rPr>
          <w:color w:val="000000"/>
        </w:rPr>
      </w:pPr>
      <w:r w:rsidRPr="004C2F74">
        <w:rPr>
          <w:color w:val="000000"/>
          <w:spacing w:val="2"/>
        </w:rPr>
        <w:t xml:space="preserve">Профессионалы с низким уровнем выгорания постоянно стремятся к </w:t>
      </w:r>
      <w:r w:rsidRPr="004C2F74">
        <w:rPr>
          <w:color w:val="000000"/>
        </w:rPr>
        <w:t xml:space="preserve">самосовершенствованию, а специалисты с высоким уровнем выгорания </w:t>
      </w:r>
      <w:r w:rsidRPr="004C2F74">
        <w:rPr>
          <w:color w:val="000000"/>
          <w:spacing w:val="1"/>
        </w:rPr>
        <w:t>недооценивают свои потенциальные возможности, и поэтому час</w:t>
      </w:r>
      <w:r w:rsidRPr="004C2F74">
        <w:rPr>
          <w:color w:val="000000"/>
        </w:rPr>
        <w:t>то упускают возможность достичь более высоких результатов.</w:t>
      </w:r>
    </w:p>
    <w:p w:rsidR="00956733" w:rsidRDefault="00956733" w:rsidP="004C2F74">
      <w:pPr>
        <w:ind w:firstLine="709"/>
        <w:jc w:val="both"/>
      </w:pPr>
      <w:r w:rsidRPr="004C2F74">
        <w:t xml:space="preserve">Также выявлена отрицательная корреляция между уровнем профессионального выгорания и ценностью «активные социальные контакты». </w:t>
      </w:r>
      <w:r w:rsidR="008429FA" w:rsidRPr="004C2F74">
        <w:t xml:space="preserve">С одной стороны, активные соц. контакты </w:t>
      </w:r>
      <w:r w:rsidRPr="004C2F74">
        <w:t>– это постоянное общение, взаимодействие с другими людьми (</w:t>
      </w:r>
      <w:r w:rsidR="008E25BF" w:rsidRPr="004C2F74">
        <w:t>воспитанниками, их родителями, коллегами</w:t>
      </w:r>
      <w:r w:rsidRPr="004C2F74">
        <w:t>), что естественным образом может провоцировать чувс</w:t>
      </w:r>
      <w:r w:rsidR="008429FA" w:rsidRPr="004C2F74">
        <w:t>тво опустошенности и усталости. Но с друго</w:t>
      </w:r>
      <w:r w:rsidR="004C2F74">
        <w:t>й стороны – социальные контакты</w:t>
      </w:r>
      <w:r w:rsidR="008429FA" w:rsidRPr="004C2F74">
        <w:t xml:space="preserve"> - это постоянный обмен опытом, взаимодействие с коллегами в профессиональной среде, повышение квалификации, что, как показывают наши исследования, способствуют профилактике профессиональных деструкций, в том числе профессионального выгорания.  </w:t>
      </w:r>
    </w:p>
    <w:p w:rsidR="004C4557" w:rsidRDefault="004C4557" w:rsidP="004C2F74">
      <w:pPr>
        <w:ind w:firstLine="709"/>
        <w:jc w:val="both"/>
      </w:pPr>
      <w:r>
        <w:lastRenderedPageBreak/>
        <w:t xml:space="preserve">Креативность как способность к умственным преобразованиям и творчеству чаще всего отождествляется с творческими способностями личности. Как показывают результаты исследования, педагоги, обладающие способностью креативно мыслить меньше подвержены профессиональному выгоранию. Это можно объяснить тем, что педагог, обладающий креативностью, характеризуется набором позитивных качеств, среди которых основными являются преобладание дивергентного мышления над конвергентным, творческий потенциал, высокий уровень толерантности, развитые коммуникативные способности и способности к </w:t>
      </w:r>
      <w:proofErr w:type="spellStart"/>
      <w:r>
        <w:t>эмпатии</w:t>
      </w:r>
      <w:proofErr w:type="spellEnd"/>
      <w:r>
        <w:t xml:space="preserve">. </w:t>
      </w:r>
    </w:p>
    <w:p w:rsidR="004C4557" w:rsidRDefault="004C4557" w:rsidP="004C2F74">
      <w:pPr>
        <w:ind w:firstLine="709"/>
        <w:jc w:val="both"/>
      </w:pPr>
      <w:r>
        <w:t xml:space="preserve">С большей долей вероятности можно говорить о прямой корреляционной зависимости между креативностью и интуицией. Под педагогической интуицией понимается совокупность одновременных и однонаправленных </w:t>
      </w:r>
      <w:r w:rsidR="00BB5590">
        <w:t>процессов неосознанности и внезапности нахождения решений конкретных педагогических задач. А такие задачи возникают у педагога постоянно. Поэтому решающее значение при профилактике профессионального выгорания имеет способность педагога к педагогической интуиции.</w:t>
      </w:r>
    </w:p>
    <w:p w:rsidR="00BB5590" w:rsidRPr="004C2F74" w:rsidRDefault="00BB5590" w:rsidP="004C2F74">
      <w:pPr>
        <w:ind w:firstLine="709"/>
        <w:jc w:val="both"/>
      </w:pPr>
      <w:r>
        <w:t xml:space="preserve">Таким образом, анализ взаимосвязи выгорания и ценностных ориентаций личности педагога выявил специфику влияния, которая заключается в активизации роли духовных ценностей, таких как, творческая самореализация и повышение квалификации по средствам </w:t>
      </w:r>
      <w:r w:rsidR="00B3063D">
        <w:t>активных социальных</w:t>
      </w:r>
      <w:r>
        <w:t xml:space="preserve"> контактов и постоянный обмен опытом.</w:t>
      </w:r>
    </w:p>
    <w:p w:rsidR="00956733" w:rsidRPr="004C2F74" w:rsidRDefault="00956733" w:rsidP="004C2F74">
      <w:pPr>
        <w:ind w:firstLine="709"/>
        <w:jc w:val="both"/>
      </w:pPr>
    </w:p>
    <w:p w:rsidR="008E25BF" w:rsidRPr="004C2F74" w:rsidRDefault="008E25BF" w:rsidP="004C2F74">
      <w:pPr>
        <w:jc w:val="both"/>
      </w:pPr>
      <w:bookmarkStart w:id="0" w:name="_GoBack"/>
      <w:bookmarkEnd w:id="0"/>
    </w:p>
    <w:p w:rsidR="008E25BF" w:rsidRPr="004C2F74" w:rsidRDefault="008E25BF" w:rsidP="004C2F74">
      <w:pPr>
        <w:jc w:val="both"/>
      </w:pPr>
    </w:p>
    <w:p w:rsidR="008E25BF" w:rsidRPr="004C2F74" w:rsidRDefault="008E25BF" w:rsidP="004C2F74">
      <w:pPr>
        <w:jc w:val="both"/>
      </w:pPr>
    </w:p>
    <w:sectPr w:rsidR="008E25BF" w:rsidRPr="004C2F74" w:rsidSect="00CF7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D3187"/>
    <w:multiLevelType w:val="hybridMultilevel"/>
    <w:tmpl w:val="05608E62"/>
    <w:lvl w:ilvl="0" w:tplc="00AAED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1929FE"/>
    <w:multiLevelType w:val="hybridMultilevel"/>
    <w:tmpl w:val="6270BFBE"/>
    <w:lvl w:ilvl="0" w:tplc="A7F04FC6">
      <w:start w:val="1"/>
      <w:numFmt w:val="bullet"/>
      <w:lvlText w:val=""/>
      <w:lvlJc w:val="left"/>
      <w:pPr>
        <w:tabs>
          <w:tab w:val="num" w:pos="360"/>
        </w:tabs>
        <w:ind w:left="360" w:hanging="360"/>
      </w:pPr>
      <w:rPr>
        <w:rFonts w:ascii="Symbol" w:hAnsi="Symbol" w:hint="default"/>
        <w:color w:val="auto"/>
      </w:r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19ED"/>
    <w:rsid w:val="000131CD"/>
    <w:rsid w:val="000B13DC"/>
    <w:rsid w:val="001119ED"/>
    <w:rsid w:val="00392494"/>
    <w:rsid w:val="003E50C0"/>
    <w:rsid w:val="004C2F74"/>
    <w:rsid w:val="004C4557"/>
    <w:rsid w:val="00524038"/>
    <w:rsid w:val="0059497F"/>
    <w:rsid w:val="007F3477"/>
    <w:rsid w:val="008429FA"/>
    <w:rsid w:val="008E25BF"/>
    <w:rsid w:val="00956733"/>
    <w:rsid w:val="00B3063D"/>
    <w:rsid w:val="00BB5590"/>
    <w:rsid w:val="00CF7890"/>
    <w:rsid w:val="00D74EEA"/>
    <w:rsid w:val="00E009CB"/>
    <w:rsid w:val="00E462E2"/>
    <w:rsid w:val="00E97B4E"/>
    <w:rsid w:val="00ED6A94"/>
    <w:rsid w:val="00F5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7C583-E385-43E9-BB1C-940DC0B2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9FA"/>
    <w:pPr>
      <w:ind w:left="720"/>
      <w:contextualSpacing/>
    </w:pPr>
  </w:style>
  <w:style w:type="paragraph" w:styleId="a4">
    <w:name w:val="Balloon Text"/>
    <w:basedOn w:val="a"/>
    <w:link w:val="a5"/>
    <w:uiPriority w:val="99"/>
    <w:semiHidden/>
    <w:unhideWhenUsed/>
    <w:rsid w:val="00F567B2"/>
    <w:rPr>
      <w:rFonts w:ascii="Segoe UI" w:hAnsi="Segoe UI" w:cs="Segoe UI"/>
      <w:sz w:val="18"/>
      <w:szCs w:val="18"/>
    </w:rPr>
  </w:style>
  <w:style w:type="character" w:customStyle="1" w:styleId="a5">
    <w:name w:val="Текст выноски Знак"/>
    <w:basedOn w:val="a0"/>
    <w:link w:val="a4"/>
    <w:uiPriority w:val="99"/>
    <w:semiHidden/>
    <w:rsid w:val="00F567B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77A4-A333-4FC4-AD43-E65D0021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student</cp:lastModifiedBy>
  <cp:revision>13</cp:revision>
  <cp:lastPrinted>2014-10-30T05:17:00Z</cp:lastPrinted>
  <dcterms:created xsi:type="dcterms:W3CDTF">2014-10-28T06:45:00Z</dcterms:created>
  <dcterms:modified xsi:type="dcterms:W3CDTF">2014-11-05T13:43:00Z</dcterms:modified>
</cp:coreProperties>
</file>