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</w:t>
      </w: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</w:p>
    <w:p w:rsidR="009244E7" w:rsidRP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12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9244E7" w:rsidRPr="001A4570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4570">
        <w:rPr>
          <w:rFonts w:ascii="Times New Roman" w:hAnsi="Times New Roman" w:cs="Times New Roman"/>
          <w:b/>
          <w:sz w:val="28"/>
          <w:szCs w:val="28"/>
        </w:rPr>
        <w:t xml:space="preserve">Об итогах конкурсного отбора на присвоение статуса РИП </w:t>
      </w:r>
      <w:r w:rsidR="00233BB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A4570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A457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33BB3">
        <w:rPr>
          <w:rFonts w:ascii="Times New Roman" w:hAnsi="Times New Roman" w:cs="Times New Roman"/>
          <w:b/>
          <w:sz w:val="28"/>
          <w:szCs w:val="28"/>
        </w:rPr>
        <w:t>у</w:t>
      </w:r>
    </w:p>
    <w:bookmarkEnd w:id="0"/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Алферова А.Б.</w:t>
      </w:r>
    </w:p>
    <w:p w:rsidR="009244E7" w:rsidRDefault="009244E7" w:rsidP="009244E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Ст.методист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ЦРИИ ГАУ ДПО ЯО ИРО</w:t>
      </w: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E7" w:rsidRDefault="009244E7" w:rsidP="009244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2017г.</w:t>
      </w:r>
    </w:p>
    <w:p w:rsidR="009244E7" w:rsidRDefault="0092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27A2" w:rsidRDefault="0092398E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конкурсном отбо</w:t>
      </w:r>
      <w:r w:rsidR="00BC35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 на статус </w:t>
      </w:r>
      <w:r w:rsidR="00BC35C8">
        <w:rPr>
          <w:rFonts w:ascii="Times New Roman" w:hAnsi="Times New Roman" w:cs="Times New Roman"/>
          <w:sz w:val="28"/>
          <w:szCs w:val="28"/>
        </w:rPr>
        <w:t>РИП</w:t>
      </w:r>
      <w:r>
        <w:rPr>
          <w:rFonts w:ascii="Times New Roman" w:hAnsi="Times New Roman" w:cs="Times New Roman"/>
          <w:sz w:val="28"/>
          <w:szCs w:val="28"/>
        </w:rPr>
        <w:t xml:space="preserve"> в 2017 году приняли участие 37 образовательных организаций из </w:t>
      </w:r>
      <w:r w:rsidR="00C44108">
        <w:rPr>
          <w:rFonts w:ascii="Times New Roman" w:hAnsi="Times New Roman" w:cs="Times New Roman"/>
          <w:sz w:val="28"/>
          <w:szCs w:val="28"/>
        </w:rPr>
        <w:t>1</w:t>
      </w:r>
      <w:r w:rsidR="00300CA7">
        <w:rPr>
          <w:rFonts w:ascii="Times New Roman" w:hAnsi="Times New Roman" w:cs="Times New Roman"/>
          <w:sz w:val="28"/>
          <w:szCs w:val="28"/>
        </w:rPr>
        <w:t>1</w:t>
      </w:r>
      <w:r w:rsidR="00C44108">
        <w:rPr>
          <w:rFonts w:ascii="Times New Roman" w:hAnsi="Times New Roman" w:cs="Times New Roman"/>
          <w:sz w:val="28"/>
          <w:szCs w:val="28"/>
        </w:rPr>
        <w:t xml:space="preserve"> муниципальных образований Ярославской области. </w:t>
      </w:r>
    </w:p>
    <w:p w:rsidR="00BC35C8" w:rsidRDefault="00BC35C8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заочного и очного этапов конкурса победителями признаны 20 ОО</w:t>
      </w:r>
      <w:r w:rsidR="008E5EBA">
        <w:rPr>
          <w:rFonts w:ascii="Times New Roman" w:hAnsi="Times New Roman" w:cs="Times New Roman"/>
          <w:sz w:val="28"/>
          <w:szCs w:val="28"/>
        </w:rPr>
        <w:t xml:space="preserve">, которые получили статус региональных инновационных площадок на </w:t>
      </w:r>
      <w:r w:rsidR="00D72622">
        <w:rPr>
          <w:rFonts w:ascii="Times New Roman" w:hAnsi="Times New Roman" w:cs="Times New Roman"/>
          <w:sz w:val="28"/>
          <w:szCs w:val="28"/>
        </w:rPr>
        <w:t>два либо три года</w:t>
      </w:r>
      <w:r w:rsidR="008E5EBA">
        <w:rPr>
          <w:rFonts w:ascii="Times New Roman" w:hAnsi="Times New Roman" w:cs="Times New Roman"/>
          <w:sz w:val="28"/>
          <w:szCs w:val="28"/>
        </w:rPr>
        <w:t>. Полный список участников и победителей можно увидеть в приложении №1.</w:t>
      </w:r>
      <w:r w:rsidR="009D0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C8" w:rsidRDefault="009D039A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показывает распределение участников и победителей конкурса по муниципальным образованиям. Видим, что из Ярославля подали заявки 11 ОО, во</w:t>
      </w:r>
      <w:r w:rsidR="001B771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ли в число победителей – </w:t>
      </w:r>
      <w:r w:rsidR="00D807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7717">
        <w:rPr>
          <w:rFonts w:ascii="Times New Roman" w:hAnsi="Times New Roman" w:cs="Times New Roman"/>
          <w:sz w:val="28"/>
          <w:szCs w:val="28"/>
        </w:rPr>
        <w:t xml:space="preserve">Для Рыбинска это соотношение </w:t>
      </w:r>
      <w:r w:rsidR="00D807E8">
        <w:rPr>
          <w:rFonts w:ascii="Times New Roman" w:hAnsi="Times New Roman" w:cs="Times New Roman"/>
          <w:sz w:val="28"/>
          <w:szCs w:val="28"/>
        </w:rPr>
        <w:t>8</w:t>
      </w:r>
      <w:r w:rsidR="001B7717">
        <w:rPr>
          <w:rFonts w:ascii="Times New Roman" w:hAnsi="Times New Roman" w:cs="Times New Roman"/>
          <w:sz w:val="28"/>
          <w:szCs w:val="28"/>
        </w:rPr>
        <w:t xml:space="preserve"> к </w:t>
      </w:r>
      <w:r w:rsidR="00D807E8">
        <w:rPr>
          <w:rFonts w:ascii="Times New Roman" w:hAnsi="Times New Roman" w:cs="Times New Roman"/>
          <w:sz w:val="28"/>
          <w:szCs w:val="28"/>
        </w:rPr>
        <w:t>4</w:t>
      </w:r>
      <w:r w:rsidR="001B7717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1B7717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1B7717">
        <w:rPr>
          <w:rFonts w:ascii="Times New Roman" w:hAnsi="Times New Roman" w:cs="Times New Roman"/>
          <w:sz w:val="28"/>
          <w:szCs w:val="28"/>
        </w:rPr>
        <w:t xml:space="preserve"> МР – 5 к </w:t>
      </w:r>
      <w:r w:rsidR="00D807E8">
        <w:rPr>
          <w:rFonts w:ascii="Times New Roman" w:hAnsi="Times New Roman" w:cs="Times New Roman"/>
          <w:sz w:val="28"/>
          <w:szCs w:val="28"/>
        </w:rPr>
        <w:t>3</w:t>
      </w:r>
      <w:r w:rsidR="001B771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4401E" w:rsidRDefault="0024401E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4108" w:rsidRDefault="00BC35C8" w:rsidP="00BC3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DE0E67" wp14:editId="652684CF">
            <wp:extent cx="6296025" cy="2795270"/>
            <wp:effectExtent l="0" t="0" r="952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174"/>
        <w:tblOverlap w:val="never"/>
        <w:tblW w:w="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850"/>
      </w:tblGrid>
      <w:tr w:rsidR="0024401E" w:rsidRPr="0024401E" w:rsidTr="0024401E">
        <w:trPr>
          <w:trHeight w:val="300"/>
        </w:trPr>
        <w:tc>
          <w:tcPr>
            <w:tcW w:w="3980" w:type="dxa"/>
            <w:gridSpan w:val="2"/>
            <w:shd w:val="clear" w:color="auto" w:fill="auto"/>
            <w:noWrap/>
            <w:vAlign w:val="bottom"/>
          </w:tcPr>
          <w:p w:rsidR="0024401E" w:rsidRPr="001B7717" w:rsidRDefault="0024401E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09565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Табл.1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Переславль-Залесский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Угличский</w:t>
            </w:r>
            <w:proofErr w:type="spellEnd"/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Любимский</w:t>
            </w:r>
            <w:proofErr w:type="spellEnd"/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Ярославль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D80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0,7</w:t>
            </w:r>
          </w:p>
        </w:tc>
      </w:tr>
      <w:tr w:rsidR="00D807E8" w:rsidRPr="0024401E" w:rsidTr="00D807E8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Тутаевский</w:t>
            </w:r>
            <w:proofErr w:type="spellEnd"/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0,6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Рыбинск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0,5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Ростовский МР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0,5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Гаврилов-</w:t>
            </w:r>
            <w:proofErr w:type="spellStart"/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Ямский</w:t>
            </w:r>
            <w:proofErr w:type="spellEnd"/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0,5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Некрасовский МР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Ярославский МР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807E8" w:rsidRPr="0024401E" w:rsidTr="0024401E">
        <w:trPr>
          <w:trHeight w:val="300"/>
        </w:trPr>
        <w:tc>
          <w:tcPr>
            <w:tcW w:w="313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Первомайский МР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7E8" w:rsidRPr="001B7717" w:rsidRDefault="00D807E8" w:rsidP="00244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B77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</w:tbl>
    <w:p w:rsidR="0024401E" w:rsidRDefault="0024401E" w:rsidP="00923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4108" w:rsidRDefault="001B7717" w:rsidP="0024401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данные цифры перевести в относительные коэффициенты, то </w:t>
      </w:r>
      <w:r w:rsidR="0024401E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>
        <w:rPr>
          <w:rFonts w:ascii="Times New Roman" w:hAnsi="Times New Roman" w:cs="Times New Roman"/>
          <w:sz w:val="28"/>
          <w:szCs w:val="28"/>
        </w:rPr>
        <w:t>наиболее «эффективно»</w:t>
      </w:r>
      <w:r w:rsidR="0024401E">
        <w:rPr>
          <w:rFonts w:ascii="Times New Roman" w:hAnsi="Times New Roman" w:cs="Times New Roman"/>
          <w:sz w:val="28"/>
          <w:szCs w:val="28"/>
        </w:rPr>
        <w:t xml:space="preserve"> представили свои проекты представители следующих МО (см. </w:t>
      </w:r>
      <w:proofErr w:type="spellStart"/>
      <w:r w:rsidR="0024401E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="0024401E">
        <w:rPr>
          <w:rFonts w:ascii="Times New Roman" w:hAnsi="Times New Roman" w:cs="Times New Roman"/>
          <w:sz w:val="28"/>
          <w:szCs w:val="28"/>
        </w:rPr>
        <w:t xml:space="preserve"> 1). </w:t>
      </w:r>
    </w:p>
    <w:p w:rsidR="001B7717" w:rsidRDefault="001B7717" w:rsidP="00923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B7717" w:rsidRDefault="001B7717" w:rsidP="00923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4108" w:rsidRDefault="00C44108" w:rsidP="00244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образовательных организаций, </w:t>
      </w:r>
      <w:r w:rsidR="001B7717">
        <w:rPr>
          <w:rFonts w:ascii="Times New Roman" w:hAnsi="Times New Roman" w:cs="Times New Roman"/>
          <w:sz w:val="28"/>
          <w:szCs w:val="28"/>
        </w:rPr>
        <w:t>претендовавших на статус РИП,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717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как общего образования</w:t>
      </w:r>
      <w:r w:rsidR="00733F61">
        <w:rPr>
          <w:rFonts w:ascii="Times New Roman" w:hAnsi="Times New Roman" w:cs="Times New Roman"/>
          <w:sz w:val="28"/>
          <w:szCs w:val="28"/>
        </w:rPr>
        <w:t xml:space="preserve"> (</w:t>
      </w:r>
      <w:r w:rsidR="00CE1885">
        <w:rPr>
          <w:rFonts w:ascii="Times New Roman" w:hAnsi="Times New Roman" w:cs="Times New Roman"/>
          <w:sz w:val="28"/>
          <w:szCs w:val="28"/>
        </w:rPr>
        <w:t>11</w:t>
      </w:r>
      <w:r w:rsidR="00733F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733F61">
        <w:rPr>
          <w:rFonts w:ascii="Times New Roman" w:hAnsi="Times New Roman" w:cs="Times New Roman"/>
          <w:sz w:val="28"/>
          <w:szCs w:val="28"/>
        </w:rPr>
        <w:t>дополнительного профессионального (11), среднего профессионального (</w:t>
      </w:r>
      <w:r w:rsidR="00CE1885">
        <w:rPr>
          <w:rFonts w:ascii="Times New Roman" w:hAnsi="Times New Roman" w:cs="Times New Roman"/>
          <w:sz w:val="28"/>
          <w:szCs w:val="28"/>
        </w:rPr>
        <w:t>9</w:t>
      </w:r>
      <w:r w:rsidR="00733F61">
        <w:rPr>
          <w:rFonts w:ascii="Times New Roman" w:hAnsi="Times New Roman" w:cs="Times New Roman"/>
          <w:sz w:val="28"/>
          <w:szCs w:val="28"/>
        </w:rPr>
        <w:t>) и дошкольного образования (</w:t>
      </w:r>
      <w:r w:rsidR="00CE1885">
        <w:rPr>
          <w:rFonts w:ascii="Times New Roman" w:hAnsi="Times New Roman" w:cs="Times New Roman"/>
          <w:sz w:val="28"/>
          <w:szCs w:val="28"/>
        </w:rPr>
        <w:t>5</w:t>
      </w:r>
      <w:r w:rsidR="00733F61">
        <w:rPr>
          <w:rFonts w:ascii="Times New Roman" w:hAnsi="Times New Roman" w:cs="Times New Roman"/>
          <w:sz w:val="28"/>
          <w:szCs w:val="28"/>
        </w:rPr>
        <w:t>). Также одн</w:t>
      </w:r>
      <w:r w:rsidR="00CE1885">
        <w:rPr>
          <w:rFonts w:ascii="Times New Roman" w:hAnsi="Times New Roman" w:cs="Times New Roman"/>
          <w:sz w:val="28"/>
          <w:szCs w:val="28"/>
        </w:rPr>
        <w:t>а</w:t>
      </w:r>
      <w:r w:rsidR="00733F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E1885">
        <w:rPr>
          <w:rFonts w:ascii="Times New Roman" w:hAnsi="Times New Roman" w:cs="Times New Roman"/>
          <w:sz w:val="28"/>
          <w:szCs w:val="28"/>
        </w:rPr>
        <w:t>я</w:t>
      </w:r>
      <w:r w:rsidR="00733F61">
        <w:rPr>
          <w:rFonts w:ascii="Times New Roman" w:hAnsi="Times New Roman" w:cs="Times New Roman"/>
          <w:sz w:val="28"/>
          <w:szCs w:val="28"/>
        </w:rPr>
        <w:t xml:space="preserve"> </w:t>
      </w:r>
      <w:r w:rsidR="00CE1885">
        <w:rPr>
          <w:rFonts w:ascii="Times New Roman" w:hAnsi="Times New Roman" w:cs="Times New Roman"/>
          <w:sz w:val="28"/>
          <w:szCs w:val="28"/>
        </w:rPr>
        <w:t>пред</w:t>
      </w:r>
      <w:r w:rsidR="001B7717">
        <w:rPr>
          <w:rFonts w:ascii="Times New Roman" w:hAnsi="Times New Roman" w:cs="Times New Roman"/>
          <w:sz w:val="28"/>
          <w:szCs w:val="28"/>
        </w:rPr>
        <w:t>ставляла</w:t>
      </w:r>
      <w:r w:rsidR="00733F6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E1885">
        <w:rPr>
          <w:rFonts w:ascii="Times New Roman" w:hAnsi="Times New Roman" w:cs="Times New Roman"/>
          <w:sz w:val="28"/>
          <w:szCs w:val="28"/>
        </w:rPr>
        <w:t>я</w:t>
      </w:r>
      <w:r w:rsidR="00733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F61">
        <w:rPr>
          <w:rFonts w:ascii="Times New Roman" w:hAnsi="Times New Roman" w:cs="Times New Roman"/>
          <w:sz w:val="28"/>
          <w:szCs w:val="28"/>
        </w:rPr>
        <w:t>доп.образования</w:t>
      </w:r>
      <w:proofErr w:type="spellEnd"/>
      <w:r w:rsidR="00733F61">
        <w:rPr>
          <w:rFonts w:ascii="Times New Roman" w:hAnsi="Times New Roman" w:cs="Times New Roman"/>
          <w:sz w:val="28"/>
          <w:szCs w:val="28"/>
        </w:rPr>
        <w:t xml:space="preserve"> детей (Центр «Молодые таланты» </w:t>
      </w:r>
      <w:proofErr w:type="spellStart"/>
      <w:r w:rsidR="00733F61">
        <w:rPr>
          <w:rFonts w:ascii="Times New Roman" w:hAnsi="Times New Roman" w:cs="Times New Roman"/>
          <w:sz w:val="28"/>
          <w:szCs w:val="28"/>
        </w:rPr>
        <w:t>г.Рыбинск</w:t>
      </w:r>
      <w:proofErr w:type="spellEnd"/>
      <w:r w:rsidR="00733F61">
        <w:rPr>
          <w:rFonts w:ascii="Times New Roman" w:hAnsi="Times New Roman" w:cs="Times New Roman"/>
          <w:sz w:val="28"/>
          <w:szCs w:val="28"/>
        </w:rPr>
        <w:t>).</w:t>
      </w:r>
    </w:p>
    <w:p w:rsidR="001B7717" w:rsidRDefault="003705BB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Рис.2 видим, что соотношение участников и победителей от числа организаций дополнительного профессионального образования (ИРО, ГЦРО, ИОЦ) составляет 11 к 9, общего образования (общеобразовательные школы) – </w:t>
      </w:r>
      <w:r w:rsidR="00D807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D807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среднего профессионального (колледжи) – </w:t>
      </w:r>
      <w:r w:rsidR="00D807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D807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00CA7" w:rsidRDefault="00300CA7" w:rsidP="003705BB">
      <w:pPr>
        <w:spacing w:after="0" w:line="360" w:lineRule="auto"/>
        <w:ind w:firstLine="567"/>
        <w:jc w:val="both"/>
        <w:rPr>
          <w:noProof/>
          <w:lang w:eastAsia="ru-RU"/>
        </w:rPr>
      </w:pPr>
    </w:p>
    <w:p w:rsidR="00BC35C8" w:rsidRDefault="00BC35C8" w:rsidP="00BC35C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179E2A" wp14:editId="672A02EA">
            <wp:extent cx="6105525" cy="3052445"/>
            <wp:effectExtent l="0" t="0" r="952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72"/>
        <w:tblOverlap w:val="never"/>
        <w:tblW w:w="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06"/>
      </w:tblGrid>
      <w:tr w:rsidR="008B795E" w:rsidRPr="003705BB" w:rsidTr="008B795E">
        <w:trPr>
          <w:trHeight w:val="376"/>
        </w:trPr>
        <w:tc>
          <w:tcPr>
            <w:tcW w:w="3799" w:type="dxa"/>
            <w:gridSpan w:val="2"/>
            <w:shd w:val="clear" w:color="auto" w:fill="auto"/>
            <w:vAlign w:val="bottom"/>
          </w:tcPr>
          <w:p w:rsidR="008B795E" w:rsidRPr="003705BB" w:rsidRDefault="008B795E" w:rsidP="008B7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56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Табл.2</w:t>
            </w:r>
          </w:p>
        </w:tc>
      </w:tr>
      <w:tr w:rsidR="008B795E" w:rsidRPr="003705BB" w:rsidTr="009244E7">
        <w:trPr>
          <w:trHeight w:val="611"/>
        </w:trPr>
        <w:tc>
          <w:tcPr>
            <w:tcW w:w="3193" w:type="dxa"/>
            <w:shd w:val="clear" w:color="auto" w:fill="auto"/>
            <w:vAlign w:val="bottom"/>
            <w:hideMark/>
          </w:tcPr>
          <w:p w:rsidR="008B795E" w:rsidRPr="009244E7" w:rsidRDefault="008B795E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8B795E" w:rsidRPr="009244E7" w:rsidRDefault="008B795E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</w:tr>
      <w:tr w:rsidR="008B795E" w:rsidRPr="003705BB" w:rsidTr="009244E7">
        <w:trPr>
          <w:trHeight w:val="563"/>
        </w:trPr>
        <w:tc>
          <w:tcPr>
            <w:tcW w:w="3193" w:type="dxa"/>
            <w:shd w:val="clear" w:color="auto" w:fill="auto"/>
            <w:vAlign w:val="bottom"/>
            <w:hideMark/>
          </w:tcPr>
          <w:p w:rsidR="008B795E" w:rsidRPr="009244E7" w:rsidRDefault="008B795E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 образование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8B795E" w:rsidRPr="009244E7" w:rsidRDefault="00D807E8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</w:tr>
      <w:tr w:rsidR="008B795E" w:rsidRPr="003705BB" w:rsidTr="009244E7">
        <w:trPr>
          <w:trHeight w:val="416"/>
        </w:trPr>
        <w:tc>
          <w:tcPr>
            <w:tcW w:w="3193" w:type="dxa"/>
            <w:shd w:val="clear" w:color="auto" w:fill="auto"/>
            <w:vAlign w:val="bottom"/>
            <w:hideMark/>
          </w:tcPr>
          <w:p w:rsidR="008B795E" w:rsidRPr="003705BB" w:rsidRDefault="008B795E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606" w:type="dxa"/>
            <w:shd w:val="clear" w:color="auto" w:fill="FFFF00"/>
            <w:noWrap/>
            <w:vAlign w:val="bottom"/>
            <w:hideMark/>
          </w:tcPr>
          <w:p w:rsidR="008B795E" w:rsidRPr="003705BB" w:rsidRDefault="00D807E8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</w:tr>
      <w:tr w:rsidR="008B795E" w:rsidRPr="003705BB" w:rsidTr="009244E7">
        <w:trPr>
          <w:trHeight w:val="408"/>
        </w:trPr>
        <w:tc>
          <w:tcPr>
            <w:tcW w:w="3193" w:type="dxa"/>
            <w:shd w:val="clear" w:color="auto" w:fill="auto"/>
            <w:vAlign w:val="bottom"/>
            <w:hideMark/>
          </w:tcPr>
          <w:p w:rsidR="008B795E" w:rsidRPr="003705BB" w:rsidRDefault="008B795E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606" w:type="dxa"/>
            <w:shd w:val="clear" w:color="auto" w:fill="FFFF00"/>
            <w:noWrap/>
            <w:vAlign w:val="bottom"/>
            <w:hideMark/>
          </w:tcPr>
          <w:p w:rsidR="008B795E" w:rsidRPr="003705BB" w:rsidRDefault="00D807E8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8B795E" w:rsidRPr="003705BB" w:rsidTr="008B795E">
        <w:trPr>
          <w:trHeight w:val="600"/>
        </w:trPr>
        <w:tc>
          <w:tcPr>
            <w:tcW w:w="3193" w:type="dxa"/>
            <w:shd w:val="clear" w:color="auto" w:fill="auto"/>
            <w:vAlign w:val="bottom"/>
          </w:tcPr>
          <w:p w:rsidR="008B795E" w:rsidRPr="003705BB" w:rsidRDefault="008B795E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8B795E" w:rsidRPr="003705BB" w:rsidRDefault="008B795E" w:rsidP="008B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C35C8" w:rsidRDefault="003705BB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Так</w:t>
      </w:r>
      <w:r w:rsidRPr="003705BB">
        <w:rPr>
          <w:rFonts w:ascii="Times New Roman" w:hAnsi="Times New Roman" w:cs="Times New Roman"/>
          <w:noProof/>
          <w:sz w:val="28"/>
          <w:lang w:eastAsia="ru-RU"/>
        </w:rPr>
        <w:t xml:space="preserve">же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переведем числа в относительные коэффициенты. </w:t>
      </w:r>
      <w:r w:rsidR="008B795E">
        <w:rPr>
          <w:rFonts w:ascii="Times New Roman" w:hAnsi="Times New Roman" w:cs="Times New Roman"/>
          <w:noProof/>
          <w:sz w:val="28"/>
          <w:lang w:eastAsia="ru-RU"/>
        </w:rPr>
        <w:t xml:space="preserve">Видим, что здесь </w:t>
      </w:r>
      <w:r w:rsidR="0009277C">
        <w:rPr>
          <w:rFonts w:ascii="Times New Roman" w:hAnsi="Times New Roman" w:cs="Times New Roman"/>
          <w:noProof/>
          <w:sz w:val="28"/>
          <w:lang w:eastAsia="ru-RU"/>
        </w:rPr>
        <w:t xml:space="preserve">соотношение победителей к участникам больше от организаций дополнительного профессионального (82%) </w:t>
      </w:r>
      <w:r w:rsidR="00D807E8">
        <w:rPr>
          <w:rFonts w:ascii="Times New Roman" w:hAnsi="Times New Roman" w:cs="Times New Roman"/>
          <w:noProof/>
          <w:sz w:val="28"/>
          <w:lang w:eastAsia="ru-RU"/>
        </w:rPr>
        <w:t>и среднего профессионального (75</w:t>
      </w:r>
      <w:r w:rsidR="0009277C">
        <w:rPr>
          <w:rFonts w:ascii="Times New Roman" w:hAnsi="Times New Roman" w:cs="Times New Roman"/>
          <w:noProof/>
          <w:sz w:val="28"/>
          <w:lang w:eastAsia="ru-RU"/>
        </w:rPr>
        <w:t xml:space="preserve">%) образования. Обращаем внимание на необходимость более </w:t>
      </w:r>
      <w:r w:rsidR="00D0570A">
        <w:rPr>
          <w:rFonts w:ascii="Times New Roman" w:hAnsi="Times New Roman" w:cs="Times New Roman"/>
          <w:noProof/>
          <w:sz w:val="28"/>
          <w:lang w:eastAsia="ru-RU"/>
        </w:rPr>
        <w:t>тщательной проработки заявок детских садов и школ.</w:t>
      </w:r>
    </w:p>
    <w:p w:rsidR="003705BB" w:rsidRPr="003705BB" w:rsidRDefault="003705BB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BC35C8" w:rsidRDefault="00BC35C8" w:rsidP="00733F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17A" w:rsidRDefault="0045017A" w:rsidP="004501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2017 год Департаментом образования Ярославской области установлены 10 приоритетных направлений развития инновационной деятельности в РСО</w:t>
      </w:r>
      <w:r w:rsidR="00EE67FF">
        <w:rPr>
          <w:rFonts w:ascii="Times New Roman" w:hAnsi="Times New Roman" w:cs="Times New Roman"/>
          <w:sz w:val="28"/>
          <w:szCs w:val="28"/>
        </w:rPr>
        <w:t xml:space="preserve"> (Рис.3.)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67FF">
        <w:rPr>
          <w:rFonts w:ascii="Times New Roman" w:hAnsi="Times New Roman" w:cs="Times New Roman"/>
          <w:sz w:val="28"/>
          <w:szCs w:val="28"/>
        </w:rPr>
        <w:t xml:space="preserve">Один проект (программа) может быть отнесен только к одному приоритетному направлению. </w:t>
      </w:r>
    </w:p>
    <w:p w:rsidR="00EE67FF" w:rsidRDefault="00EE67FF" w:rsidP="00EE67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AEA24E" wp14:editId="101AC5C8">
            <wp:extent cx="6267450" cy="605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67FF" w:rsidRDefault="00EE67FF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 все образовательные организации, подавшие заявки на статус РИП, указали в перечне задач региональной политики, на решение которых направлен проект (программа), ссылку на данные направления. В том числе этим объясняется высокая доля позиции «Другое». В данную позицию входят приоритетные направления прошлых лет (это касается программ внедрения инноваций, продолжающих темы проектов РИП 2014-2016гг.), а также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темы, как развитие библиотек и информационных центров, социокультурные практики и национально-региональный компонент, социально-психологическое сопровождение, совершенствование профессиональной компетентности педагогов (в целом). </w:t>
      </w:r>
    </w:p>
    <w:p w:rsidR="008A2268" w:rsidRDefault="00F746A7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20 победителей конкурсного отбора 12 (60%) образовательных организаций указали соисполнителей проектов (программ). Число соисполнителей у каждой организации можно увидеть в табл.3. </w:t>
      </w:r>
    </w:p>
    <w:p w:rsidR="00F746A7" w:rsidRDefault="00DB12F4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таблице 3 указано, является ли каждый из проектов (программ) межмуниципальным. К межмуниципальным проектам (программам) относятся те, в состав соисполнителей которых входят организации из как минимум одного другого муниципального образования Ярославской области (отличного от МО держателя проекта/программы).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2126"/>
        <w:gridCol w:w="3969"/>
        <w:gridCol w:w="995"/>
        <w:gridCol w:w="1977"/>
      </w:tblGrid>
      <w:tr w:rsidR="006A60E6" w:rsidRPr="006A60E6" w:rsidTr="006A60E6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0E6" w:rsidRPr="006A60E6" w:rsidRDefault="006A60E6" w:rsidP="006A6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Табл.3. Число соисполнителей проектов (программ)</w:t>
            </w:r>
          </w:p>
        </w:tc>
      </w:tr>
      <w:tr w:rsidR="006A60E6" w:rsidRPr="006A60E6" w:rsidTr="009244E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A60E6" w:rsidRPr="006A60E6" w:rsidRDefault="00F746A7" w:rsidP="006A6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 w:rsidR="006A60E6"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ейтинг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(</w:t>
            </w:r>
            <w:proofErr w:type="spellStart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пограммы</w:t>
            </w:r>
            <w:proofErr w:type="spellEnd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A60E6" w:rsidRPr="006A60E6" w:rsidRDefault="00F746A7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6A60E6"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 соисп</w:t>
            </w:r>
            <w:r w:rsid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олнителей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A60E6" w:rsidRPr="006A60E6" w:rsidRDefault="00F746A7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A60E6"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(?)</w:t>
            </w:r>
          </w:p>
        </w:tc>
      </w:tr>
      <w:tr w:rsidR="006A60E6" w:rsidRPr="006A60E6" w:rsidTr="009244E7">
        <w:trPr>
          <w:trHeight w:val="1779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ДПО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центр развития образования» г. Ярославля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детьми с особыми образовательными потребностями средствами УМК «Перспективная начальная школа» и «</w:t>
            </w:r>
            <w:proofErr w:type="spellStart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Предшкола</w:t>
            </w:r>
            <w:proofErr w:type="spellEnd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поколения» (проект)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41118D" w:rsidRPr="006A60E6" w:rsidRDefault="0041118D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г.Ярославль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Угличский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МР,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Тутаевский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МР)</w:t>
            </w:r>
          </w:p>
        </w:tc>
      </w:tr>
      <w:tr w:rsidR="006A60E6" w:rsidRPr="006A60E6" w:rsidTr="009244E7">
        <w:trPr>
          <w:trHeight w:val="1694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«Институт развития образования»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распространения педагогический практик реализации субъектно-ориентированного типа педагогического процесса в условиях реализации ФГОС (программа)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41118D" w:rsidRPr="006A60E6" w:rsidRDefault="0041118D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г.Рыбинск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Тутаевский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МР, Ярославский МР,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г.Переславль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-Залесский)</w:t>
            </w:r>
          </w:p>
        </w:tc>
      </w:tr>
      <w:tr w:rsidR="006A60E6" w:rsidRPr="006A60E6" w:rsidTr="009244E7">
        <w:trPr>
          <w:trHeight w:val="160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ДПО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«Информационно-образовательный центр» </w:t>
            </w:r>
            <w:proofErr w:type="spellStart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 (проект)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A60E6" w:rsidRPr="006A60E6" w:rsidTr="009244E7">
        <w:trPr>
          <w:trHeight w:val="1867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ДПО</w:t>
            </w:r>
            <w:r w:rsidRPr="006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«Информационно-образовательный Центр» г. Рыбинска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развитие социокультурных практик как ресурса достижения обучающимися новых образовательных результатов с учетом требований ФГОС (проект)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A60E6" w:rsidRPr="006A60E6" w:rsidTr="009244E7">
        <w:trPr>
          <w:trHeight w:val="1248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«Институт развития образования»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содержания и технологий общего образования на основе со-</w:t>
            </w:r>
            <w:proofErr w:type="spellStart"/>
            <w:proofErr w:type="gramStart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бытийности</w:t>
            </w:r>
            <w:proofErr w:type="spellEnd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(программа)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41118D" w:rsidRPr="006A60E6" w:rsidRDefault="0041118D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г.Ярославль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Гаврилов-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Ямский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МР, Первомайский МР)</w:t>
            </w:r>
          </w:p>
        </w:tc>
      </w:tr>
      <w:tr w:rsidR="006A60E6" w:rsidRPr="006A60E6" w:rsidTr="009244E7">
        <w:trPr>
          <w:trHeight w:val="189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ДПО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«Информационно-образовательный Центр» г. Рыбинска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«Освоение механизмов использования ресурсов открытого информационно-образовательного пространства в деятельности информационно-библиотечных центров в муниципальной системе образования» (программа)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A60E6" w:rsidRPr="006A60E6" w:rsidTr="009244E7">
        <w:trPr>
          <w:trHeight w:val="200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«Институт развития образования»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создания профессиона</w:t>
            </w:r>
            <w:r w:rsidR="00411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обучающихся сообществ как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средство повышения профессиональной компетентности педагогов </w:t>
            </w:r>
            <w:proofErr w:type="gramStart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школах</w:t>
            </w:r>
            <w:proofErr w:type="gramEnd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переходе в эффективный режим работы (проект)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41118D" w:rsidRPr="006A60E6" w:rsidRDefault="0041118D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Тутаевский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МР, Пошехонский МР,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г.Переславль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-Залесский,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г.Ярославль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6A60E6" w:rsidRPr="006A60E6" w:rsidTr="009244E7">
        <w:trPr>
          <w:trHeight w:val="1641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 109 г. Ярославля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инклюзивного образования детей с ограниченными возможностями здоровья в рамках реализации ФГОС ДО в Ярославской области (программа)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41118D" w:rsidRPr="006A60E6" w:rsidRDefault="0041118D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(Ярославский МР, Ростовский МР,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Угличский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МР,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Мышкинский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МР,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г.Ярославль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6A60E6" w:rsidRPr="006A60E6" w:rsidTr="009244E7">
        <w:trPr>
          <w:trHeight w:val="1404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ДПО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«Информационно-образовательный центр» </w:t>
            </w:r>
            <w:proofErr w:type="spellStart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культура оценочной деятельности современного педагога (проект)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A60E6" w:rsidRPr="006A60E6" w:rsidTr="009244E7">
        <w:trPr>
          <w:trHeight w:val="181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Ростовский педагогический колледж 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ИКТ-компетенций выпускников профессиональных образовательных организаций в соответствии с профессиональными стандартами (программа)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41118D" w:rsidRPr="006A60E6" w:rsidRDefault="0041118D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г.Ярославль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г.Рыбинск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Борисоглебский МР, 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Даниловский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МР)</w:t>
            </w:r>
          </w:p>
        </w:tc>
      </w:tr>
      <w:tr w:rsidR="006A60E6" w:rsidRPr="006A60E6" w:rsidTr="009244E7">
        <w:trPr>
          <w:trHeight w:val="157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ДПО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«Информационно-образовательный центр» </w:t>
            </w:r>
            <w:proofErr w:type="spellStart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комплекса мер, обеспечивающих переход муниципальной сети профильного обучения на ФГОС СОО через внедрение технологии </w:t>
            </w:r>
            <w:proofErr w:type="spellStart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мыследеятельностной</w:t>
            </w:r>
            <w:proofErr w:type="spellEnd"/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педагогики (проект)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A60E6" w:rsidRPr="006A60E6" w:rsidTr="009244E7">
        <w:trPr>
          <w:trHeight w:val="2156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E6" w:rsidRPr="006A60E6" w:rsidRDefault="006A60E6" w:rsidP="00924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0E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ГПОАУ</w:t>
            </w: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Ростовский колледж отраслевых технологий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вариативной инновационной модели профессиональной образовательной организации, соответствующей потребностям социально-экономического развития региона (проект)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Pr="006A60E6" w:rsidRDefault="006A60E6" w:rsidP="006A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E6" w:rsidRDefault="006A60E6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41118D" w:rsidRPr="006A60E6" w:rsidRDefault="0041118D" w:rsidP="00F7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proofErr w:type="spellStart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Мышкинский</w:t>
            </w:r>
            <w:proofErr w:type="spellEnd"/>
            <w:r w:rsidRPr="004111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МР, Пошехонский МР)</w:t>
            </w:r>
          </w:p>
        </w:tc>
      </w:tr>
    </w:tbl>
    <w:p w:rsidR="006A60E6" w:rsidRDefault="006A60E6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268" w:rsidRDefault="00DF4240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всего держателей проектов (программ) РИП и их соисполнителей по результатам конкурсного отбора в 2017 году составило 9</w:t>
      </w:r>
      <w:r w:rsidR="00EE67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Из них 20 – основные площадки РИП и </w:t>
      </w:r>
      <w:r w:rsidR="00EE67FF">
        <w:rPr>
          <w:rFonts w:ascii="Times New Roman" w:hAnsi="Times New Roman" w:cs="Times New Roman"/>
          <w:sz w:val="28"/>
          <w:szCs w:val="28"/>
        </w:rPr>
        <w:t>75 – соисполнители (рис.4).</w:t>
      </w:r>
    </w:p>
    <w:p w:rsidR="009244E7" w:rsidRDefault="009244E7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7FF" w:rsidRDefault="00EE67FF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28BA10" wp14:editId="50912836">
            <wp:extent cx="6210300" cy="4874260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44E7" w:rsidRDefault="009244E7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F61" w:rsidRDefault="00733F61" w:rsidP="00370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ГАУ ДПО </w:t>
      </w:r>
      <w:r w:rsidR="00D0570A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="008A2268" w:rsidRPr="008A2268">
        <w:rPr>
          <w:rFonts w:ascii="Times New Roman" w:hAnsi="Times New Roman" w:cs="Times New Roman"/>
          <w:sz w:val="28"/>
          <w:szCs w:val="28"/>
        </w:rPr>
        <w:t xml:space="preserve"> </w:t>
      </w:r>
      <w:r w:rsidR="008A2268">
        <w:rPr>
          <w:rFonts w:ascii="Times New Roman" w:hAnsi="Times New Roman" w:cs="Times New Roman"/>
          <w:sz w:val="28"/>
          <w:szCs w:val="28"/>
        </w:rPr>
        <w:t>на конкурсе</w:t>
      </w:r>
      <w:r w:rsidR="003705B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пятью проектами от трех структурных подразделений: кафедра </w:t>
      </w:r>
      <w:r w:rsidR="00D0570A">
        <w:rPr>
          <w:rFonts w:ascii="Times New Roman" w:hAnsi="Times New Roman" w:cs="Times New Roman"/>
          <w:sz w:val="28"/>
          <w:szCs w:val="28"/>
        </w:rPr>
        <w:t>естественно-математических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D0570A">
        <w:rPr>
          <w:rFonts w:ascii="Times New Roman" w:hAnsi="Times New Roman" w:cs="Times New Roman"/>
          <w:sz w:val="28"/>
          <w:szCs w:val="28"/>
        </w:rPr>
        <w:t xml:space="preserve"> заявки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D0570A">
        <w:rPr>
          <w:rFonts w:ascii="Times New Roman" w:hAnsi="Times New Roman" w:cs="Times New Roman"/>
          <w:sz w:val="28"/>
          <w:szCs w:val="28"/>
        </w:rPr>
        <w:t>кафедра начального образования (1 заявка), центр развития инновационной инфраструктуры (1 заявка)</w:t>
      </w:r>
      <w:r w:rsidR="003705BB">
        <w:rPr>
          <w:rFonts w:ascii="Times New Roman" w:hAnsi="Times New Roman" w:cs="Times New Roman"/>
          <w:sz w:val="28"/>
          <w:szCs w:val="28"/>
        </w:rPr>
        <w:t>, из которых в состав победителей вошли три проекта по одному от каждого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318" w:rsidRDefault="00087318" w:rsidP="00923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E1885" w:rsidRDefault="00CE1885" w:rsidP="0092398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87318" w:rsidRDefault="008E5EBA" w:rsidP="00087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7318" w:rsidSect="008E1B6E">
          <w:footerReference w:type="default" r:id="rId10"/>
          <w:pgSz w:w="11906" w:h="16838"/>
          <w:pgMar w:top="851" w:right="850" w:bottom="851" w:left="1276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5EBA" w:rsidRDefault="008E5EBA">
      <w:pPr>
        <w:rPr>
          <w:rFonts w:ascii="Times New Roman" w:hAnsi="Times New Roman" w:cs="Times New Roman"/>
          <w:sz w:val="28"/>
          <w:szCs w:val="28"/>
        </w:rPr>
      </w:pPr>
    </w:p>
    <w:p w:rsidR="00300CA7" w:rsidRDefault="008E5EBA" w:rsidP="008E5EB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8E5EBA" w:rsidRDefault="008E5EBA" w:rsidP="008E5EB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конкурсного отбора на статус РИП в 2017 г.</w:t>
      </w:r>
    </w:p>
    <w:p w:rsidR="00F314B4" w:rsidRDefault="00F314B4" w:rsidP="00F31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245"/>
        <w:gridCol w:w="1134"/>
        <w:gridCol w:w="1134"/>
        <w:gridCol w:w="1134"/>
      </w:tblGrid>
      <w:tr w:rsidR="00F76107" w:rsidRPr="00F314B4" w:rsidTr="00F76107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2CC" w:themeFill="accent4" w:themeFillTint="33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noWrap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  <w:noWrap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 (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пограммы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заочный этап</w:t>
            </w:r>
          </w:p>
        </w:tc>
        <w:tc>
          <w:tcPr>
            <w:tcW w:w="1134" w:type="dxa"/>
            <w:shd w:val="clear" w:color="auto" w:fill="FFF2CC" w:themeFill="accent4" w:themeFillTint="33"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очный этап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</w:tr>
      <w:tr w:rsidR="00F76107" w:rsidRPr="00F314B4" w:rsidTr="00F76107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shd w:val="clear" w:color="000000" w:fill="DCE6F1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noWrap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</w:t>
            </w:r>
          </w:p>
        </w:tc>
      </w:tr>
      <w:tr w:rsidR="00F76107" w:rsidRPr="00F314B4" w:rsidTr="00F76107">
        <w:trPr>
          <w:trHeight w:val="110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лицей № 2 г. Рыбинска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механизмы реализации ФГОС на уровне среднего общего образования (программа)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76,08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77,04</w:t>
            </w:r>
          </w:p>
        </w:tc>
      </w:tr>
      <w:tr w:rsidR="00F76107" w:rsidRPr="00F314B4" w:rsidTr="00F76107">
        <w:trPr>
          <w:trHeight w:val="174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с углубленным изучением отдельных предметов «Провинциальный колледж»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 (программа)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76,60</w:t>
            </w:r>
          </w:p>
        </w:tc>
      </w:tr>
      <w:tr w:rsidR="00F76107" w:rsidRPr="00F314B4" w:rsidTr="00F76107">
        <w:trPr>
          <w:trHeight w:val="126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«Институт развития образования»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содержания и технологий общего образования на основе со-</w:t>
            </w:r>
            <w:proofErr w:type="spellStart"/>
            <w:proofErr w:type="gram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бытийности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(программа)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73,50</w:t>
            </w:r>
          </w:p>
        </w:tc>
      </w:tr>
      <w:tr w:rsidR="00F76107" w:rsidRPr="00F314B4" w:rsidTr="00F76107">
        <w:trPr>
          <w:trHeight w:val="182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«Информационно-образовательный Центр» г. Рыбинска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«Освоение механизмов использования ресурсов открытого информационно-образовательного пространства в деятельности информационно-библиотечных центров в муниципальной системе образования» (программа)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69,58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70,79</w:t>
            </w:r>
          </w:p>
        </w:tc>
      </w:tr>
      <w:tr w:rsidR="00F76107" w:rsidRPr="00F314B4" w:rsidTr="00F76107">
        <w:trPr>
          <w:trHeight w:val="169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разработки основной профессиональной образовательной программы, основанной на интеграции ФГОС СПО и ФГОС среднего общего образования нового поколения»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69,80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69,90</w:t>
            </w:r>
          </w:p>
        </w:tc>
      </w:tr>
      <w:tr w:rsidR="00F76107" w:rsidRPr="00F314B4" w:rsidTr="00F76107">
        <w:trPr>
          <w:trHeight w:val="168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«Информационно-образовательный Центр» г. Рыбинска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развитие социокультурных практик как ресурса достижения обучающимися новых образовательных результатов с учетом требований ФГОС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65,92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68,96</w:t>
            </w:r>
          </w:p>
        </w:tc>
      </w:tr>
      <w:tr w:rsidR="00F76107" w:rsidRPr="00F314B4" w:rsidTr="00F76107">
        <w:trPr>
          <w:trHeight w:val="141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«Институт развития образования»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распространения педагогический практик реализации субъектно-ориентированного типа педагогического процесса в условиях реализации ФГОС (программа)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66,88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68,69</w:t>
            </w:r>
          </w:p>
        </w:tc>
      </w:tr>
      <w:tr w:rsidR="00F76107" w:rsidRPr="00F314B4" w:rsidTr="00F76107">
        <w:trPr>
          <w:trHeight w:val="168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Ростовский колледж отраслевых технологий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вариативной инновационной модели профессиональной образовательной организации, соответствующей потребностям социально-экономического развития региона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59,40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67,20</w:t>
            </w:r>
          </w:p>
        </w:tc>
      </w:tr>
      <w:tr w:rsidR="00F76107" w:rsidRPr="00F314B4" w:rsidTr="00F76107">
        <w:trPr>
          <w:trHeight w:val="169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«Институт развития образования»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создания профессиональных обучающихся сообществ </w:t>
            </w:r>
            <w:proofErr w:type="gram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 средство</w:t>
            </w:r>
            <w:proofErr w:type="gram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профессиональной компетентности педагогов в  школах при переходе в эффективный режим работы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57,38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65,69</w:t>
            </w:r>
          </w:p>
        </w:tc>
      </w:tr>
      <w:tr w:rsidR="00F76107" w:rsidRPr="00F314B4" w:rsidTr="00F76107">
        <w:trPr>
          <w:trHeight w:val="155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общеобразовательное учреждение Ярославской области «Переславль-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школа-интернат № 4»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оценивания </w:t>
            </w:r>
            <w:proofErr w:type="gram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достижений</w:t>
            </w:r>
            <w:proofErr w:type="gram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задержкой психического развития (ЗПР) в условиях реализации федеральных образовательных стандартов (ФГОС)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61,64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63,82</w:t>
            </w:r>
          </w:p>
        </w:tc>
      </w:tr>
      <w:tr w:rsidR="00F76107" w:rsidRPr="00F314B4" w:rsidTr="00F76107">
        <w:trPr>
          <w:trHeight w:val="154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Ростовский педагогический колледж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ИКТ-компетенций выпускников профессиональных образовательных организаций в соответствии с профессиональными стандартами (программа)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66,10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61,05</w:t>
            </w:r>
          </w:p>
        </w:tc>
      </w:tr>
      <w:tr w:rsidR="00F76107" w:rsidRPr="00F314B4" w:rsidTr="00F76107">
        <w:trPr>
          <w:trHeight w:val="129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109 г. Ярославля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развития инклюзивного образования детей с ограниченными возможностями здоровья в рамках реализации ФГОС ДО в Ярославской области (программа)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59,75</w:t>
            </w:r>
          </w:p>
        </w:tc>
      </w:tr>
      <w:tr w:rsidR="00F76107" w:rsidRPr="00F314B4" w:rsidTr="00F76107">
        <w:trPr>
          <w:trHeight w:val="188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комплекса мер, обеспечивающих переход муниципальной сети профильного обучения на ФГОС СОО через внедрение технологии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мыследеятельностной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педагогики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55,18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59,59</w:t>
            </w:r>
          </w:p>
        </w:tc>
      </w:tr>
      <w:tr w:rsidR="00F76107" w:rsidRPr="00F314B4" w:rsidTr="00F76107">
        <w:trPr>
          <w:trHeight w:val="165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57,27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58,64</w:t>
            </w:r>
          </w:p>
        </w:tc>
      </w:tr>
      <w:tr w:rsidR="00F76107" w:rsidRPr="00F314B4" w:rsidTr="00F76107">
        <w:trPr>
          <w:trHeight w:val="169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культура оценочной деятельности современного педагога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52,82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57,91</w:t>
            </w:r>
          </w:p>
        </w:tc>
      </w:tr>
      <w:tr w:rsidR="00F76107" w:rsidRPr="00F314B4" w:rsidTr="00F76107">
        <w:trPr>
          <w:trHeight w:val="174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механико-технологический колледж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модель организации профессионального обучения учащихся общеобразовательных учреждений муниципальных районов с использованием возможностей профессиональных образовательных организаций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56,82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57,91</w:t>
            </w:r>
          </w:p>
        </w:tc>
      </w:tr>
      <w:tr w:rsidR="00F76107" w:rsidRPr="00F314B4" w:rsidTr="00F76107">
        <w:trPr>
          <w:trHeight w:val="127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36 г. Рыбинска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медиации в образовательной организации на основе новых финансовых механизмов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46,77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55,38</w:t>
            </w:r>
          </w:p>
        </w:tc>
      </w:tr>
      <w:tr w:rsidR="00F76107" w:rsidRPr="00F314B4" w:rsidTr="00F76107">
        <w:trPr>
          <w:trHeight w:val="161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образовательное </w:t>
            </w:r>
            <w:proofErr w:type="gram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 дополнительного</w:t>
            </w:r>
            <w:proofErr w:type="gram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образования «Городской центр развития образования» г. Ярославля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детьми с особыми образовательными потребностями средствами УМК «Перспективная начальная школа» и «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Предшкола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поколения»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58,75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52,63</w:t>
            </w:r>
          </w:p>
        </w:tc>
      </w:tr>
      <w:tr w:rsidR="00F76107" w:rsidRPr="00F314B4" w:rsidTr="00F76107">
        <w:trPr>
          <w:trHeight w:val="211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аграрно-политехнический колледж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апробация и внедрение универсальной модели профессиональной образовательной программы на основе ФГОС 4-СПО, сопряженной с требованиями профессиональных стандартов и методиками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37,50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50,50</w:t>
            </w:r>
          </w:p>
        </w:tc>
      </w:tr>
      <w:tr w:rsidR="00F76107" w:rsidRPr="00F314B4" w:rsidTr="00F76107">
        <w:trPr>
          <w:trHeight w:val="217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обучения и воспитания детей с ограниченными возможностями здоровья в образовательных организациях Специализация: Социально-бытовое сопровождение обучающихся с ограниченными возможностями здоровья в профессиональном образовательном учреждении (проект)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36,40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49,20</w:t>
            </w:r>
          </w:p>
        </w:tc>
      </w:tr>
      <w:tr w:rsidR="00F76107" w:rsidRPr="00F314B4" w:rsidTr="00F76107">
        <w:trPr>
          <w:trHeight w:val="119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«Институт развития образования»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механизмы реализации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в курсах ЕНД и математики современной школы (проект)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49,00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48,25</w:t>
            </w:r>
          </w:p>
        </w:tc>
      </w:tr>
      <w:tr w:rsidR="00F76107" w:rsidRPr="00F314B4" w:rsidTr="00F76107">
        <w:trPr>
          <w:trHeight w:val="140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Некрасовская средняя общеобразовательная школа 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содержания и технологий достижения образовательных результатов. Модель реализации ФГОС СОО на муниципальном уровне (проект)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50,46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47,23</w:t>
            </w:r>
          </w:p>
        </w:tc>
      </w:tr>
      <w:tr w:rsidR="00F76107" w:rsidRPr="00F314B4" w:rsidTr="00F76107">
        <w:trPr>
          <w:trHeight w:val="127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22 г. Рыбинска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индивидуальной траектории развития детей с признаками одаренности в условиях дошкольной образовательной организации (проект)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44,00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47,00</w:t>
            </w:r>
          </w:p>
        </w:tc>
      </w:tr>
      <w:tr w:rsidR="00F76107" w:rsidRPr="00F314B4" w:rsidTr="00F76107">
        <w:trPr>
          <w:trHeight w:val="126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№30 г. Рыбинска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 по реализации междисциплинарной программы ООП основного общего образования через образовательный портал школы (проект)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41,55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46,02</w:t>
            </w:r>
          </w:p>
        </w:tc>
      </w:tr>
      <w:tr w:rsidR="00F76107" w:rsidRPr="00F314B4" w:rsidTr="00F76107">
        <w:trPr>
          <w:trHeight w:val="106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«Великосельская средняя школа Гаврилов-Ямского МР» 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индивидуальной образовательной деятельности в старшей школе» (программа)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49,22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44,36</w:t>
            </w:r>
          </w:p>
        </w:tc>
      </w:tr>
      <w:tr w:rsidR="00F76107" w:rsidRPr="00F314B4" w:rsidTr="00F76107">
        <w:trPr>
          <w:trHeight w:val="122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«Институт развития образования»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повышения мотивации школьников к изучению математики естественно-научных дисциплин (проект)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41,63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43,06</w:t>
            </w:r>
          </w:p>
        </w:tc>
      </w:tr>
      <w:tr w:rsidR="00F76107" w:rsidRPr="00F314B4" w:rsidTr="00F76107">
        <w:trPr>
          <w:trHeight w:val="150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профессиональный колледж № 21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оценки и стимулирования результативности педагогического персонала как условие роста эффективности деятельности профессиональной образовательной организации (проект)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49,5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35,90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42,70</w:t>
            </w:r>
          </w:p>
        </w:tc>
      </w:tr>
      <w:tr w:rsidR="00F76107" w:rsidRPr="00F314B4" w:rsidTr="00F76107">
        <w:trPr>
          <w:trHeight w:val="111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«Центр «Молодые таланты» 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образовательной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в условиях образовательного пространства городского округа город Рыбинск (проект)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46,10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42,55</w:t>
            </w:r>
          </w:p>
        </w:tc>
      </w:tr>
      <w:tr w:rsidR="00F76107" w:rsidRPr="00F314B4" w:rsidTr="00F76107">
        <w:trPr>
          <w:trHeight w:val="125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 г. Ростова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«Наше наследие». Реализация национально-регионального компонента в учебно-воспитательной работе школы (проект)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38,5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38,00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38,25</w:t>
            </w:r>
          </w:p>
        </w:tc>
      </w:tr>
      <w:tr w:rsidR="00F76107" w:rsidRPr="00F314B4" w:rsidTr="00F76107">
        <w:trPr>
          <w:trHeight w:val="140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Дубковская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школа» Ярославского МР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библиотека как центр интеграции урочной и внеурочной деятельности (проект) 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32,20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35,85</w:t>
            </w:r>
          </w:p>
        </w:tc>
      </w:tr>
      <w:tr w:rsidR="00F76107" w:rsidRPr="00F314B4" w:rsidTr="00F76107">
        <w:trPr>
          <w:trHeight w:val="157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23 с.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Шурскол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Ростовского МР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творческих способностей детей через приобщение к русской народной культуре в условиях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полинациональности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 ДОУ (проект)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38,5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27,56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33,03</w:t>
            </w:r>
          </w:p>
        </w:tc>
      </w:tr>
      <w:tr w:rsidR="00F76107" w:rsidRPr="00F314B4" w:rsidTr="00F76107">
        <w:trPr>
          <w:trHeight w:val="16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программы воспитания и социализации обучающихся СПО в соответствии с требованиями ФГОС (программа)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30,56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32,28</w:t>
            </w:r>
          </w:p>
        </w:tc>
      </w:tr>
      <w:tr w:rsidR="00F76107" w:rsidRPr="00F314B4" w:rsidTr="00F76107">
        <w:trPr>
          <w:trHeight w:val="98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7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4 «Буратино» </w:t>
            </w:r>
          </w:p>
        </w:tc>
        <w:tc>
          <w:tcPr>
            <w:tcW w:w="5245" w:type="dxa"/>
            <w:shd w:val="clear" w:color="000000" w:fill="F2F2F2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педагогическими кадрами в условиях сетевого взаимодействия (программа)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24,92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27,96</w:t>
            </w:r>
          </w:p>
        </w:tc>
      </w:tr>
      <w:tr w:rsidR="00F76107" w:rsidRPr="00F314B4" w:rsidTr="00F76107">
        <w:trPr>
          <w:trHeight w:val="1409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общеобразовательное учреждение средняя школа № 7 имени адмирала Ф.Ф. Ушакова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субботы как способ повышения мотивации обучающихся к познавательной и творческой деятельности (проект)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6107" w:rsidRPr="00F314B4" w:rsidTr="00F76107">
        <w:trPr>
          <w:trHeight w:val="1281"/>
          <w:jc w:val="center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Козская</w:t>
            </w:r>
            <w:proofErr w:type="spellEnd"/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Первомайского МР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успешной социально-психологической адаптации обучающихся 5 класса в условиях перехода на ФГОС основного общего образования (проект)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6107" w:rsidRPr="00F314B4" w:rsidTr="00F76107">
        <w:trPr>
          <w:trHeight w:val="1838"/>
          <w:jc w:val="center"/>
        </w:trPr>
        <w:tc>
          <w:tcPr>
            <w:tcW w:w="704" w:type="dxa"/>
            <w:shd w:val="clear" w:color="auto" w:fill="auto"/>
            <w:vAlign w:val="bottom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апробация и внедрение эффективных моделей профессионального обучения взрослого населения (проект)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76107" w:rsidRPr="00F314B4" w:rsidTr="00F76107">
        <w:trPr>
          <w:trHeight w:val="155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6 «Ленок» Гаврилов-Ямского МР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профессиональной компетентности педагогических кадров дошкольной образовательной организации как фактор повышения качества дошкольного образования в контексте ФГОС ДО (проект)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  <w:hideMark/>
          </w:tcPr>
          <w:p w:rsidR="00F76107" w:rsidRPr="00F314B4" w:rsidRDefault="00F76107" w:rsidP="00F31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14B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314B4" w:rsidRDefault="00F314B4" w:rsidP="008E5EBA">
      <w:pPr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F314B4" w:rsidSect="009D039A">
          <w:footerReference w:type="default" r:id="rId11"/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8E5EBA" w:rsidRDefault="008E5EBA" w:rsidP="008E5EB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E1885" w:rsidRPr="0092398E" w:rsidRDefault="00CE1885" w:rsidP="0092398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E1885" w:rsidRPr="0092398E" w:rsidSect="009239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8E" w:rsidRDefault="0017278E" w:rsidP="00D0570A">
      <w:pPr>
        <w:spacing w:after="0" w:line="240" w:lineRule="auto"/>
      </w:pPr>
      <w:r>
        <w:separator/>
      </w:r>
    </w:p>
  </w:endnote>
  <w:endnote w:type="continuationSeparator" w:id="0">
    <w:p w:rsidR="0017278E" w:rsidRDefault="0017278E" w:rsidP="00D0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701811"/>
      <w:docPartObj>
        <w:docPartGallery w:val="Page Numbers (Bottom of Page)"/>
        <w:docPartUnique/>
      </w:docPartObj>
    </w:sdtPr>
    <w:sdtEndPr/>
    <w:sdtContent>
      <w:p w:rsidR="006A60E6" w:rsidRDefault="006A60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B3">
          <w:rPr>
            <w:noProof/>
          </w:rPr>
          <w:t>6</w:t>
        </w:r>
        <w:r>
          <w:fldChar w:fldCharType="end"/>
        </w:r>
      </w:p>
    </w:sdtContent>
  </w:sdt>
  <w:p w:rsidR="006A60E6" w:rsidRDefault="006A60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734612"/>
      <w:docPartObj>
        <w:docPartGallery w:val="Page Numbers (Bottom of Page)"/>
        <w:docPartUnique/>
      </w:docPartObj>
    </w:sdtPr>
    <w:sdtEndPr/>
    <w:sdtContent>
      <w:p w:rsidR="006A60E6" w:rsidRDefault="006A60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B3">
          <w:rPr>
            <w:noProof/>
          </w:rPr>
          <w:t>14</w:t>
        </w:r>
        <w:r>
          <w:fldChar w:fldCharType="end"/>
        </w:r>
      </w:p>
    </w:sdtContent>
  </w:sdt>
  <w:p w:rsidR="006A60E6" w:rsidRDefault="006A60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8E" w:rsidRDefault="0017278E" w:rsidP="00D0570A">
      <w:pPr>
        <w:spacing w:after="0" w:line="240" w:lineRule="auto"/>
      </w:pPr>
      <w:r>
        <w:separator/>
      </w:r>
    </w:p>
  </w:footnote>
  <w:footnote w:type="continuationSeparator" w:id="0">
    <w:p w:rsidR="0017278E" w:rsidRDefault="0017278E" w:rsidP="00D05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6F"/>
    <w:rsid w:val="00087318"/>
    <w:rsid w:val="0009277C"/>
    <w:rsid w:val="00095650"/>
    <w:rsid w:val="0017278E"/>
    <w:rsid w:val="001B7717"/>
    <w:rsid w:val="001F0410"/>
    <w:rsid w:val="00233BB3"/>
    <w:rsid w:val="0024401E"/>
    <w:rsid w:val="00300CA7"/>
    <w:rsid w:val="003608D4"/>
    <w:rsid w:val="003705BB"/>
    <w:rsid w:val="0041118D"/>
    <w:rsid w:val="0045017A"/>
    <w:rsid w:val="006A60E6"/>
    <w:rsid w:val="007019F3"/>
    <w:rsid w:val="007327A2"/>
    <w:rsid w:val="00733F61"/>
    <w:rsid w:val="007A4644"/>
    <w:rsid w:val="0087566F"/>
    <w:rsid w:val="008A2268"/>
    <w:rsid w:val="008A7B47"/>
    <w:rsid w:val="008B795E"/>
    <w:rsid w:val="008E1B6E"/>
    <w:rsid w:val="008E5EBA"/>
    <w:rsid w:val="0092398E"/>
    <w:rsid w:val="009244E7"/>
    <w:rsid w:val="009D039A"/>
    <w:rsid w:val="00A30D92"/>
    <w:rsid w:val="00A36404"/>
    <w:rsid w:val="00AB409C"/>
    <w:rsid w:val="00BC35C8"/>
    <w:rsid w:val="00BC6C7C"/>
    <w:rsid w:val="00C44108"/>
    <w:rsid w:val="00CE1885"/>
    <w:rsid w:val="00D0413C"/>
    <w:rsid w:val="00D0570A"/>
    <w:rsid w:val="00D72622"/>
    <w:rsid w:val="00D807E8"/>
    <w:rsid w:val="00DB12F4"/>
    <w:rsid w:val="00DF4240"/>
    <w:rsid w:val="00E521A4"/>
    <w:rsid w:val="00EE67FF"/>
    <w:rsid w:val="00F205FC"/>
    <w:rsid w:val="00F314B4"/>
    <w:rsid w:val="00F746A7"/>
    <w:rsid w:val="00F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952EB-7CD7-47F9-B688-DB3EB6E4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8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70A"/>
  </w:style>
  <w:style w:type="paragraph" w:styleId="a7">
    <w:name w:val="footer"/>
    <w:basedOn w:val="a"/>
    <w:link w:val="a8"/>
    <w:uiPriority w:val="99"/>
    <w:unhideWhenUsed/>
    <w:rsid w:val="00D0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0;&#1086;&#1085;&#1082;&#1091;&#1088;&#1089;%20&#1056;&#1048;&#1055;%202017\&#1054;&#1062;&#1045;&#1053;&#1050;&#1048;%20&#1069;&#1050;&#1057;&#1055;&#1045;&#1056;&#1058;&#1054;&#104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0;&#1086;&#1085;&#1082;&#1091;&#1088;&#1089;%20&#1056;&#1048;&#1055;%202017\&#1054;&#1062;&#1045;&#1053;&#1050;&#1048;%20&#1069;&#1050;&#1057;&#1055;&#1045;&#1056;&#1058;&#1054;&#104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0;&#1086;&#1085;&#1082;&#1091;&#1088;&#1089;%20&#1056;&#1048;&#1055;%202017\&#1054;&#1062;&#1045;&#1053;&#1050;&#1048;%20&#1069;&#1050;&#1057;&#1055;&#1045;&#1056;&#1058;&#1054;&#104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ferova.INTRANET\Documents\&#1048;&#1085;&#1085;&#1086;&#1074;&#1072;&#1094;&#1080;&#1086;&#1085;&#1085;&#1072;&#1103;%20&#1076;&#1077;&#1103;&#1090;&#1077;&#1083;&#1100;&#1085;&#1086;&#1089;&#1090;&#1100;\&#1056;&#1048;&#1055;&#1099;\&#1050;&#1086;&#1085;&#1082;&#1091;&#1088;&#1089;%20&#1056;&#1048;&#1055;%202017\&#1056;&#1048;&#1055;%202017%20+%20&#1089;&#1086;&#1080;&#1089;&#1087;&#1086;&#1083;&#1085;&#1080;&#1090;&#1077;&#1083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Рис.1. Распределение заявок на статус РИП по МО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ЯО (число)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Участники</c:v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итог!$A$43:$A$53</c:f>
              <c:strCache>
                <c:ptCount val="11"/>
                <c:pt idx="0">
                  <c:v>Ярославль</c:v>
                </c:pt>
                <c:pt idx="1">
                  <c:v>Рыбинск</c:v>
                </c:pt>
                <c:pt idx="2">
                  <c:v>Тутаевский МР</c:v>
                </c:pt>
                <c:pt idx="3">
                  <c:v>Ростовский МР</c:v>
                </c:pt>
                <c:pt idx="4">
                  <c:v>Гаврилов-Ямский МР</c:v>
                </c:pt>
                <c:pt idx="5">
                  <c:v>Переславль-Залесский</c:v>
                </c:pt>
                <c:pt idx="6">
                  <c:v>Угличский МР</c:v>
                </c:pt>
                <c:pt idx="7">
                  <c:v>Любимский МР</c:v>
                </c:pt>
                <c:pt idx="8">
                  <c:v>Некрасовский МР</c:v>
                </c:pt>
                <c:pt idx="9">
                  <c:v>Ярославский МР</c:v>
                </c:pt>
                <c:pt idx="10">
                  <c:v>Первомайский МР</c:v>
                </c:pt>
              </c:strCache>
            </c:strRef>
          </c:cat>
          <c:val>
            <c:numRef>
              <c:f>итог!$B$43:$B$53</c:f>
              <c:numCache>
                <c:formatCode>General</c:formatCode>
                <c:ptCount val="11"/>
                <c:pt idx="0">
                  <c:v>10</c:v>
                </c:pt>
                <c:pt idx="1">
                  <c:v>8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v>Победители</c:v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итог!$B$61:$B$71</c:f>
              <c:numCache>
                <c:formatCode>General</c:formatCode>
                <c:ptCount val="11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3811184"/>
        <c:axId val="-23825328"/>
      </c:barChart>
      <c:catAx>
        <c:axId val="-2381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3825328"/>
        <c:crosses val="autoZero"/>
        <c:auto val="1"/>
        <c:lblAlgn val="ctr"/>
        <c:lblOffset val="100"/>
        <c:noMultiLvlLbl val="0"/>
      </c:catAx>
      <c:valAx>
        <c:axId val="-2382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381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85000"/>
          <a:lumOff val="1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Рис.2. Распреление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заявок на статус РИП от организаций по видам образования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v>Победители</c:v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итог!$A$72:$A$76</c:f>
              <c:strCache>
                <c:ptCount val="5"/>
                <c:pt idx="0">
                  <c:v>Дополнительное образование детей</c:v>
                </c:pt>
                <c:pt idx="1">
                  <c:v>Дошкольное образование</c:v>
                </c:pt>
                <c:pt idx="2">
                  <c:v>Среднее профессиональное образование</c:v>
                </c:pt>
                <c:pt idx="3">
                  <c:v>Общее образование</c:v>
                </c:pt>
                <c:pt idx="4">
                  <c:v>Дополнительное профессиональное образование</c:v>
                </c:pt>
              </c:strCache>
            </c:strRef>
          </c:cat>
          <c:val>
            <c:numRef>
              <c:f>итог!$B$72:$B$76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ser>
          <c:idx val="0"/>
          <c:order val="1"/>
          <c:tx>
            <c:v>Участники</c:v>
          </c:tx>
          <c:spPr>
            <a:solidFill>
              <a:schemeClr val="accent1">
                <a:lumMod val="5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итог!$A$72:$A$76</c:f>
              <c:strCache>
                <c:ptCount val="5"/>
                <c:pt idx="0">
                  <c:v>Дополнительное образование детей</c:v>
                </c:pt>
                <c:pt idx="1">
                  <c:v>Дошкольное образование</c:v>
                </c:pt>
                <c:pt idx="2">
                  <c:v>Среднее профессиональное образование</c:v>
                </c:pt>
                <c:pt idx="3">
                  <c:v>Общее образование</c:v>
                </c:pt>
                <c:pt idx="4">
                  <c:v>Дополнительное профессиональное образование</c:v>
                </c:pt>
              </c:strCache>
            </c:strRef>
          </c:cat>
          <c:val>
            <c:numRef>
              <c:f>итог!$B$54:$B$58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9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3820976"/>
        <c:axId val="-23823152"/>
      </c:barChart>
      <c:catAx>
        <c:axId val="-23820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3823152"/>
        <c:crosses val="autoZero"/>
        <c:auto val="1"/>
        <c:lblAlgn val="ctr"/>
        <c:lblOffset val="100"/>
        <c:noMultiLvlLbl val="0"/>
      </c:catAx>
      <c:valAx>
        <c:axId val="-23823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382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85000"/>
          <a:lumOff val="1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Рис.3.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заявок на статус РИП по приоритетным направлениям развития инновационной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деятельности в РСО 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итог!$Z$2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6.1349693251532989E-3"/>
                  <c:y val="7.0994878980797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итог!$X$3:$X$13</c:f>
              <c:strCache>
                <c:ptCount val="11"/>
                <c:pt idx="0">
                  <c:v>Другое</c:v>
                </c:pt>
                <c:pt idx="1">
                  <c:v>Технологии формирования организационной культуры образовательной организации, ориентированной на развитие.</c:v>
                </c:pt>
                <c:pt idx="2">
                  <c:v>Использование методов формирующего оценивания в образовательном процессе. </c:v>
                </c:pt>
                <c:pt idx="3">
                  <c:v>Эффективные модели реализации стратегии развития воспитания в Российской Федерации.</c:v>
                </c:pt>
                <c:pt idx="4">
                  <c:v>Разработка, апробация и внедрение эффективных моделей профессионального обучения взрослого населения.</c:v>
                </c:pt>
                <c:pt idx="5">
                  <c:v>Разработка и внедрение инновационных моделей профессиональных образовательных организаций, соответствующих потребностям социально-экономического развития региона.</c:v>
                </c:pt>
                <c:pt idx="6">
                  <c:v>Разработка системы оценки результативности и эффективности педагогического персонала.</c:v>
                </c:pt>
                <c:pt idx="7">
                  <c:v>Интеграция общего и профессионального образования в условиях перехода к ФГОС 4 поколения.</c:v>
                </c:pt>
                <c:pt idx="8">
                  <c:v>Создание условий для обучения и воспитания детей с ограниченными возможностями здоровья в образовательных организациях.</c:v>
                </c:pt>
                <c:pt idx="9">
                  <c:v>Модернизация содержания и технологий достижения образовательных результатов. </c:v>
                </c:pt>
                <c:pt idx="10">
                  <c:v>Модернизация содержания и технологий образовательного процесса в условиях перехода к ФГОС 4-ого поколения, профессиональным стандартам и методикам WorldSkills.</c:v>
                </c:pt>
              </c:strCache>
            </c:strRef>
          </c:cat>
          <c:val>
            <c:numRef>
              <c:f>итог!$Z$3:$Z$13</c:f>
              <c:numCache>
                <c:formatCode>General</c:formatCode>
                <c:ptCount val="11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tx>
            <c:strRef>
              <c:f>итог!$Y$2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итог!$X$3:$X$13</c:f>
              <c:strCache>
                <c:ptCount val="11"/>
                <c:pt idx="0">
                  <c:v>Другое</c:v>
                </c:pt>
                <c:pt idx="1">
                  <c:v>Технологии формирования организационной культуры образовательной организации, ориентированной на развитие.</c:v>
                </c:pt>
                <c:pt idx="2">
                  <c:v>Использование методов формирующего оценивания в образовательном процессе. </c:v>
                </c:pt>
                <c:pt idx="3">
                  <c:v>Эффективные модели реализации стратегии развития воспитания в Российской Федерации.</c:v>
                </c:pt>
                <c:pt idx="4">
                  <c:v>Разработка, апробация и внедрение эффективных моделей профессионального обучения взрослого населения.</c:v>
                </c:pt>
                <c:pt idx="5">
                  <c:v>Разработка и внедрение инновационных моделей профессиональных образовательных организаций, соответствующих потребностям социально-экономического развития региона.</c:v>
                </c:pt>
                <c:pt idx="6">
                  <c:v>Разработка системы оценки результативности и эффективности педагогического персонала.</c:v>
                </c:pt>
                <c:pt idx="7">
                  <c:v>Интеграция общего и профессионального образования в условиях перехода к ФГОС 4 поколения.</c:v>
                </c:pt>
                <c:pt idx="8">
                  <c:v>Создание условий для обучения и воспитания детей с ограниченными возможностями здоровья в образовательных организациях.</c:v>
                </c:pt>
                <c:pt idx="9">
                  <c:v>Модернизация содержания и технологий достижения образовательных результатов. </c:v>
                </c:pt>
                <c:pt idx="10">
                  <c:v>Модернизация содержания и технологий образовательного процесса в условиях перехода к ФГОС 4-ого поколения, профессиональным стандартам и методикам WorldSkills.</c:v>
                </c:pt>
              </c:strCache>
            </c:strRef>
          </c:cat>
          <c:val>
            <c:numRef>
              <c:f>итог!$Y$3:$Y$13</c:f>
              <c:numCache>
                <c:formatCode>General</c:formatCode>
                <c:ptCount val="11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3810096"/>
        <c:axId val="-23820432"/>
      </c:barChart>
      <c:catAx>
        <c:axId val="-23810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3820432"/>
        <c:crosses val="autoZero"/>
        <c:auto val="1"/>
        <c:lblAlgn val="ctr"/>
        <c:lblOffset val="100"/>
        <c:noMultiLvlLbl val="0"/>
      </c:catAx>
      <c:valAx>
        <c:axId val="-23820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381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606897542062559"/>
          <c:y val="0.45601611119364799"/>
          <c:w val="0.19661969438286234"/>
          <c:h val="6.68784268458589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Число РИП-2017</a:t>
            </a:r>
            <a:r>
              <a:rPr lang="ru-RU" sz="14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МО ЯО</a:t>
            </a:r>
            <a:endPara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Из них держателей проекта (программы)</c:v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</c:spPr>
          <c:invertIfNegative val="0"/>
          <c:dLbls>
            <c:dLbl>
              <c:idx val="7"/>
              <c:layout>
                <c:manualLayout>
                  <c:x val="1.2158054711246164E-2"/>
                  <c:y val="2.58147710900581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0526849037487338E-3"/>
                  <c:y val="2.58147710900581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0526849037487338E-3"/>
                  <c:y val="5.16295421801158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0263424518743669E-3"/>
                  <c:y val="-4.732653361161852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4.0526849037487338E-3"/>
                  <c:y val="5.16295421801158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7149182467170798E-17"/>
                  <c:y val="7.7444313270174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0526849037487338E-3"/>
                  <c:y val="7.7444313270174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7149182467170798E-17"/>
                  <c:y val="5.1629542180116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Лист1!$C$23:$C$42</c:f>
              <c:strCache>
                <c:ptCount val="19"/>
                <c:pt idx="0">
                  <c:v>Брейтовский МР</c:v>
                </c:pt>
                <c:pt idx="1">
                  <c:v>Некоузский МР</c:v>
                </c:pt>
                <c:pt idx="2">
                  <c:v>Некрасовский МР</c:v>
                </c:pt>
                <c:pt idx="3">
                  <c:v>Переславский МР</c:v>
                </c:pt>
                <c:pt idx="4">
                  <c:v>Рыбинский МР</c:v>
                </c:pt>
                <c:pt idx="5">
                  <c:v>Борисоглебский МР</c:v>
                </c:pt>
                <c:pt idx="6">
                  <c:v>Даниловский МР</c:v>
                </c:pt>
                <c:pt idx="7">
                  <c:v>Любимский МР</c:v>
                </c:pt>
                <c:pt idx="8">
                  <c:v>г. Переславль-Залесский</c:v>
                </c:pt>
                <c:pt idx="9">
                  <c:v>Мышкинский МР</c:v>
                </c:pt>
                <c:pt idx="10">
                  <c:v>Первомайский МР</c:v>
                </c:pt>
                <c:pt idx="11">
                  <c:v>Пошехонский МР</c:v>
                </c:pt>
                <c:pt idx="12">
                  <c:v>Ярославский МР</c:v>
                </c:pt>
                <c:pt idx="13">
                  <c:v>Гаврилов-Ямский МР</c:v>
                </c:pt>
                <c:pt idx="14">
                  <c:v>Ростовский МР</c:v>
                </c:pt>
                <c:pt idx="15">
                  <c:v>Угличский МР</c:v>
                </c:pt>
                <c:pt idx="16">
                  <c:v>г. Рыбинск</c:v>
                </c:pt>
                <c:pt idx="17">
                  <c:v>г. Ярославль</c:v>
                </c:pt>
                <c:pt idx="18">
                  <c:v>Тутаевский МР</c:v>
                </c:pt>
              </c:strCache>
            </c:strRef>
          </c:cat>
          <c:val>
            <c:numRef>
              <c:f>Лист1!$E$23:$E$42</c:f>
              <c:numCache>
                <c:formatCode>General</c:formatCode>
                <c:ptCount val="20"/>
                <c:pt idx="7">
                  <c:v>1</c:v>
                </c:pt>
                <c:pt idx="8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4</c:v>
                </c:pt>
                <c:pt idx="17">
                  <c:v>7</c:v>
                </c:pt>
                <c:pt idx="18">
                  <c:v>3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v>всего</c:v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tx2">
                  <a:lumMod val="50000"/>
                </a:schemeClr>
              </a:solidFill>
            </a:ln>
            <a:effectLst/>
          </c:spPr>
          <c:invertIfNegative val="0"/>
          <c:dLbls>
            <c:dLbl>
              <c:idx val="7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Лист1!$C$23:$C$42</c:f>
              <c:strCache>
                <c:ptCount val="19"/>
                <c:pt idx="0">
                  <c:v>Брейтовский МР</c:v>
                </c:pt>
                <c:pt idx="1">
                  <c:v>Некоузский МР</c:v>
                </c:pt>
                <c:pt idx="2">
                  <c:v>Некрасовский МР</c:v>
                </c:pt>
                <c:pt idx="3">
                  <c:v>Переславский МР</c:v>
                </c:pt>
                <c:pt idx="4">
                  <c:v>Рыбинский МР</c:v>
                </c:pt>
                <c:pt idx="5">
                  <c:v>Борисоглебский МР</c:v>
                </c:pt>
                <c:pt idx="6">
                  <c:v>Даниловский МР</c:v>
                </c:pt>
                <c:pt idx="7">
                  <c:v>Любимский МР</c:v>
                </c:pt>
                <c:pt idx="8">
                  <c:v>г. Переславль-Залесский</c:v>
                </c:pt>
                <c:pt idx="9">
                  <c:v>Мышкинский МР</c:v>
                </c:pt>
                <c:pt idx="10">
                  <c:v>Первомайский МР</c:v>
                </c:pt>
                <c:pt idx="11">
                  <c:v>Пошехонский МР</c:v>
                </c:pt>
                <c:pt idx="12">
                  <c:v>Ярославский МР</c:v>
                </c:pt>
                <c:pt idx="13">
                  <c:v>Гаврилов-Ямский МР</c:v>
                </c:pt>
                <c:pt idx="14">
                  <c:v>Ростовский МР</c:v>
                </c:pt>
                <c:pt idx="15">
                  <c:v>Угличский МР</c:v>
                </c:pt>
                <c:pt idx="16">
                  <c:v>г. Рыбинск</c:v>
                </c:pt>
                <c:pt idx="17">
                  <c:v>г. Ярославль</c:v>
                </c:pt>
                <c:pt idx="18">
                  <c:v>Тутаевский МР</c:v>
                </c:pt>
              </c:strCache>
            </c:strRef>
          </c:cat>
          <c:val>
            <c:numRef>
              <c:f>Лист1!$F$23:$F$42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5</c:v>
                </c:pt>
                <c:pt idx="16">
                  <c:v>21</c:v>
                </c:pt>
                <c:pt idx="17">
                  <c:v>22</c:v>
                </c:pt>
                <c:pt idx="18">
                  <c:v>28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-97888256"/>
        <c:axId val="-97882272"/>
      </c:barChart>
      <c:catAx>
        <c:axId val="-97888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882272"/>
        <c:crosses val="autoZero"/>
        <c:auto val="1"/>
        <c:lblAlgn val="ctr"/>
        <c:lblOffset val="100"/>
        <c:noMultiLvlLbl val="0"/>
      </c:catAx>
      <c:valAx>
        <c:axId val="-97882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788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15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11</cp:revision>
  <cp:lastPrinted>2017-03-06T09:04:00Z</cp:lastPrinted>
  <dcterms:created xsi:type="dcterms:W3CDTF">2017-03-06T07:26:00Z</dcterms:created>
  <dcterms:modified xsi:type="dcterms:W3CDTF">2017-03-15T07:22:00Z</dcterms:modified>
</cp:coreProperties>
</file>